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76B856" w14:textId="77777777" w:rsidR="00B85FA5" w:rsidRPr="006278AF" w:rsidRDefault="00B85FA5" w:rsidP="00B85FA5">
      <w:pPr>
        <w:spacing w:after="60" w:line="276" w:lineRule="auto"/>
        <w:jc w:val="center"/>
        <w:rPr>
          <w:color w:val="000000"/>
          <w:sz w:val="28"/>
          <w:szCs w:val="24"/>
        </w:rPr>
      </w:pPr>
      <w:r w:rsidRPr="006278AF">
        <w:rPr>
          <w:color w:val="000000"/>
          <w:sz w:val="28"/>
          <w:szCs w:val="24"/>
        </w:rPr>
        <w:t>Development and spread of the Rāma narrative (pre-modern):</w:t>
      </w:r>
    </w:p>
    <w:p w14:paraId="698AA1AB" w14:textId="77777777" w:rsidR="00B85FA5" w:rsidRPr="006278AF" w:rsidRDefault="00B85FA5" w:rsidP="00B85FA5">
      <w:pPr>
        <w:spacing w:after="60" w:line="276" w:lineRule="auto"/>
        <w:jc w:val="center"/>
        <w:rPr>
          <w:color w:val="000000"/>
          <w:sz w:val="28"/>
          <w:szCs w:val="24"/>
        </w:rPr>
      </w:pPr>
      <w:r w:rsidRPr="006278AF">
        <w:rPr>
          <w:color w:val="000000"/>
          <w:sz w:val="28"/>
          <w:szCs w:val="24"/>
        </w:rPr>
        <w:t>deposited by John Brockington</w:t>
      </w:r>
    </w:p>
    <w:p w14:paraId="06690294" w14:textId="77777777" w:rsidR="00B85FA5" w:rsidRPr="006278AF" w:rsidRDefault="00B85FA5" w:rsidP="00B85FA5">
      <w:pPr>
        <w:spacing w:after="60" w:line="276" w:lineRule="auto"/>
        <w:jc w:val="center"/>
        <w:rPr>
          <w:color w:val="000000"/>
          <w:sz w:val="28"/>
          <w:szCs w:val="24"/>
        </w:rPr>
      </w:pPr>
      <w:r w:rsidRPr="006278AF">
        <w:rPr>
          <w:color w:val="000000"/>
          <w:sz w:val="28"/>
          <w:szCs w:val="24"/>
        </w:rPr>
        <w:t xml:space="preserve">and Mary Brockington </w:t>
      </w:r>
    </w:p>
    <w:p w14:paraId="059498FF" w14:textId="77777777" w:rsidR="00B85FA5" w:rsidRPr="006278AF" w:rsidRDefault="00B85FA5" w:rsidP="00B85FA5">
      <w:pPr>
        <w:spacing w:before="240" w:after="120" w:line="276" w:lineRule="auto"/>
        <w:rPr>
          <w:b/>
          <w:color w:val="000000"/>
          <w:sz w:val="28"/>
          <w:szCs w:val="24"/>
        </w:rPr>
      </w:pPr>
      <w:r w:rsidRPr="006278AF">
        <w:rPr>
          <w:b/>
          <w:color w:val="000000"/>
          <w:sz w:val="28"/>
          <w:szCs w:val="24"/>
        </w:rPr>
        <w:t>Guidance notes: contents list followed by explanatory comments</w:t>
      </w:r>
    </w:p>
    <w:p w14:paraId="30BE2F14" w14:textId="77777777" w:rsidR="00B85FA5" w:rsidRPr="006278AF" w:rsidRDefault="00B85FA5" w:rsidP="00B85FA5">
      <w:pPr>
        <w:spacing w:after="60" w:line="276" w:lineRule="auto"/>
        <w:rPr>
          <w:color w:val="000000"/>
          <w:szCs w:val="24"/>
        </w:rPr>
      </w:pPr>
      <w:r w:rsidRPr="006278AF">
        <w:rPr>
          <w:color w:val="000000"/>
          <w:szCs w:val="24"/>
        </w:rPr>
        <w:t>A. Preliminaries</w:t>
      </w:r>
    </w:p>
    <w:p w14:paraId="0B20CDD6" w14:textId="77777777" w:rsidR="00B85FA5" w:rsidRPr="006278AF" w:rsidRDefault="00B85FA5" w:rsidP="00B85FA5">
      <w:pPr>
        <w:spacing w:after="60" w:line="276" w:lineRule="auto"/>
        <w:rPr>
          <w:color w:val="000000"/>
          <w:szCs w:val="24"/>
        </w:rPr>
      </w:pPr>
      <w:r w:rsidRPr="006278AF">
        <w:rPr>
          <w:color w:val="000000"/>
          <w:szCs w:val="24"/>
        </w:rPr>
        <w:tab/>
        <w:t>Abbreviations (subdivided into categories)</w:t>
      </w:r>
    </w:p>
    <w:p w14:paraId="04854DBB" w14:textId="77777777" w:rsidR="00B85FA5" w:rsidRPr="006278AF" w:rsidRDefault="00B85FA5" w:rsidP="00B85FA5">
      <w:pPr>
        <w:spacing w:after="60" w:line="276" w:lineRule="auto"/>
        <w:rPr>
          <w:color w:val="000000"/>
          <w:szCs w:val="24"/>
        </w:rPr>
      </w:pPr>
      <w:r w:rsidRPr="006278AF">
        <w:rPr>
          <w:color w:val="000000"/>
          <w:szCs w:val="24"/>
        </w:rPr>
        <w:tab/>
        <w:t>Abstract</w:t>
      </w:r>
    </w:p>
    <w:p w14:paraId="0903C140" w14:textId="77777777" w:rsidR="00B85FA5" w:rsidRPr="006278AF" w:rsidRDefault="00B85FA5" w:rsidP="00B85FA5">
      <w:pPr>
        <w:spacing w:after="60" w:line="276" w:lineRule="auto"/>
        <w:rPr>
          <w:color w:val="000000"/>
          <w:szCs w:val="24"/>
        </w:rPr>
      </w:pPr>
      <w:r w:rsidRPr="006278AF">
        <w:rPr>
          <w:color w:val="000000"/>
          <w:szCs w:val="24"/>
        </w:rPr>
        <w:tab/>
        <w:t>Guidance notes (i.e. this document)</w:t>
      </w:r>
    </w:p>
    <w:p w14:paraId="70195E35" w14:textId="77777777" w:rsidR="00B85FA5" w:rsidRPr="006278AF" w:rsidRDefault="00B85FA5" w:rsidP="00B85FA5">
      <w:pPr>
        <w:spacing w:before="120" w:after="60" w:line="276" w:lineRule="auto"/>
        <w:ind w:right="-7"/>
        <w:rPr>
          <w:color w:val="000000"/>
          <w:szCs w:val="24"/>
        </w:rPr>
      </w:pPr>
      <w:r w:rsidRPr="006278AF">
        <w:rPr>
          <w:color w:val="000000"/>
          <w:szCs w:val="24"/>
        </w:rPr>
        <w:t>B. Bibliographic inventory (amalgamated and by category)</w:t>
      </w:r>
    </w:p>
    <w:p w14:paraId="18400CAB" w14:textId="77777777" w:rsidR="00B85FA5" w:rsidRPr="006278AF" w:rsidRDefault="00B85FA5" w:rsidP="00B85FA5">
      <w:pPr>
        <w:tabs>
          <w:tab w:val="left" w:pos="720"/>
          <w:tab w:val="left" w:pos="1170"/>
        </w:tabs>
        <w:spacing w:after="40" w:line="276" w:lineRule="auto"/>
        <w:rPr>
          <w:color w:val="000000"/>
          <w:szCs w:val="24"/>
        </w:rPr>
      </w:pPr>
      <w:r w:rsidRPr="006278AF">
        <w:rPr>
          <w:color w:val="000000"/>
          <w:szCs w:val="24"/>
        </w:rPr>
        <w:tab/>
        <w:t xml:space="preserve">1. </w:t>
      </w:r>
      <w:r w:rsidRPr="006278AF">
        <w:rPr>
          <w:color w:val="000000"/>
          <w:szCs w:val="24"/>
        </w:rPr>
        <w:tab/>
        <w:t>amalgamated</w:t>
      </w:r>
    </w:p>
    <w:p w14:paraId="6C32C7DF" w14:textId="77777777" w:rsidR="00B85FA5" w:rsidRPr="006278AF" w:rsidRDefault="00B85FA5" w:rsidP="00B85FA5">
      <w:pPr>
        <w:tabs>
          <w:tab w:val="left" w:pos="720"/>
          <w:tab w:val="left" w:pos="1170"/>
        </w:tabs>
        <w:spacing w:after="40" w:line="276" w:lineRule="auto"/>
        <w:rPr>
          <w:i/>
          <w:color w:val="000000"/>
          <w:szCs w:val="24"/>
        </w:rPr>
      </w:pPr>
      <w:r w:rsidRPr="006278AF">
        <w:rPr>
          <w:color w:val="000000"/>
          <w:szCs w:val="24"/>
        </w:rPr>
        <w:tab/>
        <w:t xml:space="preserve">2. </w:t>
      </w:r>
      <w:r w:rsidRPr="006278AF">
        <w:rPr>
          <w:color w:val="000000"/>
          <w:szCs w:val="24"/>
        </w:rPr>
        <w:tab/>
      </w:r>
      <w:r w:rsidRPr="006278AF">
        <w:rPr>
          <w:i/>
          <w:color w:val="000000"/>
          <w:szCs w:val="24"/>
        </w:rPr>
        <w:t>Vālmīki Rāmāyaṇa</w:t>
      </w:r>
    </w:p>
    <w:p w14:paraId="732AA859" w14:textId="77777777" w:rsidR="00B85FA5" w:rsidRPr="006278AF" w:rsidRDefault="00B85FA5" w:rsidP="00B85FA5">
      <w:pPr>
        <w:tabs>
          <w:tab w:val="left" w:pos="720"/>
          <w:tab w:val="left" w:pos="1170"/>
        </w:tabs>
        <w:spacing w:after="40" w:line="276" w:lineRule="auto"/>
        <w:rPr>
          <w:color w:val="000000"/>
          <w:szCs w:val="24"/>
        </w:rPr>
      </w:pPr>
      <w:r w:rsidRPr="006278AF">
        <w:rPr>
          <w:color w:val="000000"/>
          <w:szCs w:val="24"/>
        </w:rPr>
        <w:tab/>
        <w:t xml:space="preserve">3. </w:t>
      </w:r>
      <w:r w:rsidRPr="006278AF">
        <w:rPr>
          <w:color w:val="000000"/>
          <w:szCs w:val="24"/>
        </w:rPr>
        <w:tab/>
      </w:r>
      <w:r w:rsidRPr="006278AF">
        <w:rPr>
          <w:i/>
          <w:color w:val="000000"/>
          <w:szCs w:val="24"/>
        </w:rPr>
        <w:t>Mahābhārata</w:t>
      </w:r>
      <w:r w:rsidRPr="006278AF">
        <w:rPr>
          <w:color w:val="000000"/>
          <w:szCs w:val="24"/>
        </w:rPr>
        <w:t xml:space="preserve"> and Purāṇas</w:t>
      </w:r>
    </w:p>
    <w:p w14:paraId="468965BA" w14:textId="77777777" w:rsidR="00B85FA5" w:rsidRPr="006278AF" w:rsidRDefault="00B85FA5" w:rsidP="00B85FA5">
      <w:pPr>
        <w:tabs>
          <w:tab w:val="left" w:pos="720"/>
          <w:tab w:val="left" w:pos="1170"/>
        </w:tabs>
        <w:spacing w:after="40" w:line="276" w:lineRule="auto"/>
        <w:rPr>
          <w:color w:val="000000"/>
          <w:szCs w:val="24"/>
        </w:rPr>
      </w:pPr>
      <w:r w:rsidRPr="006278AF">
        <w:rPr>
          <w:color w:val="000000"/>
          <w:szCs w:val="24"/>
        </w:rPr>
        <w:tab/>
        <w:t xml:space="preserve">4. </w:t>
      </w:r>
      <w:r w:rsidRPr="006278AF">
        <w:rPr>
          <w:color w:val="000000"/>
          <w:szCs w:val="24"/>
        </w:rPr>
        <w:tab/>
        <w:t>Classical Sanskrit literature</w:t>
      </w:r>
    </w:p>
    <w:p w14:paraId="2010731A" w14:textId="77777777" w:rsidR="00B85FA5" w:rsidRPr="006278AF" w:rsidRDefault="00B85FA5" w:rsidP="00B85FA5">
      <w:pPr>
        <w:tabs>
          <w:tab w:val="left" w:pos="720"/>
          <w:tab w:val="left" w:pos="1170"/>
        </w:tabs>
        <w:spacing w:after="40" w:line="276" w:lineRule="auto"/>
        <w:rPr>
          <w:color w:val="000000"/>
          <w:szCs w:val="24"/>
        </w:rPr>
      </w:pPr>
      <w:r w:rsidRPr="006278AF">
        <w:rPr>
          <w:color w:val="000000"/>
          <w:szCs w:val="24"/>
        </w:rPr>
        <w:tab/>
        <w:t xml:space="preserve">5. </w:t>
      </w:r>
      <w:r w:rsidRPr="006278AF">
        <w:rPr>
          <w:color w:val="000000"/>
          <w:szCs w:val="24"/>
        </w:rPr>
        <w:tab/>
        <w:t>Buddhist (South Asia)</w:t>
      </w:r>
    </w:p>
    <w:p w14:paraId="321C80D1" w14:textId="77777777" w:rsidR="00B85FA5" w:rsidRPr="006278AF" w:rsidRDefault="00B85FA5" w:rsidP="00B85FA5">
      <w:pPr>
        <w:tabs>
          <w:tab w:val="left" w:pos="720"/>
          <w:tab w:val="left" w:pos="1170"/>
        </w:tabs>
        <w:spacing w:after="40" w:line="276" w:lineRule="auto"/>
        <w:rPr>
          <w:color w:val="000000"/>
          <w:szCs w:val="24"/>
        </w:rPr>
      </w:pPr>
      <w:r w:rsidRPr="006278AF">
        <w:rPr>
          <w:color w:val="000000"/>
          <w:szCs w:val="24"/>
        </w:rPr>
        <w:tab/>
        <w:t xml:space="preserve">6. </w:t>
      </w:r>
      <w:r w:rsidRPr="006278AF">
        <w:rPr>
          <w:color w:val="000000"/>
          <w:szCs w:val="24"/>
        </w:rPr>
        <w:tab/>
        <w:t>Jain</w:t>
      </w:r>
    </w:p>
    <w:p w14:paraId="0A8699A3" w14:textId="77777777" w:rsidR="00B85FA5" w:rsidRPr="006278AF" w:rsidRDefault="00B85FA5" w:rsidP="00B85FA5">
      <w:pPr>
        <w:tabs>
          <w:tab w:val="left" w:pos="720"/>
          <w:tab w:val="left" w:pos="1170"/>
        </w:tabs>
        <w:spacing w:after="40" w:line="276" w:lineRule="auto"/>
        <w:rPr>
          <w:color w:val="000000"/>
          <w:szCs w:val="24"/>
        </w:rPr>
      </w:pPr>
      <w:r w:rsidRPr="006278AF">
        <w:rPr>
          <w:color w:val="000000"/>
          <w:szCs w:val="24"/>
        </w:rPr>
        <w:tab/>
        <w:t xml:space="preserve">7. </w:t>
      </w:r>
      <w:r w:rsidRPr="006278AF">
        <w:rPr>
          <w:color w:val="000000"/>
          <w:szCs w:val="24"/>
        </w:rPr>
        <w:tab/>
        <w:t>Instructional texts</w:t>
      </w:r>
    </w:p>
    <w:p w14:paraId="68C0AF2B" w14:textId="77777777" w:rsidR="00B85FA5" w:rsidRPr="006278AF" w:rsidRDefault="00B85FA5" w:rsidP="00B85FA5">
      <w:pPr>
        <w:tabs>
          <w:tab w:val="left" w:pos="720"/>
          <w:tab w:val="left" w:pos="1170"/>
        </w:tabs>
        <w:spacing w:after="40" w:line="276" w:lineRule="auto"/>
        <w:rPr>
          <w:color w:val="000000"/>
          <w:szCs w:val="24"/>
        </w:rPr>
      </w:pPr>
      <w:r w:rsidRPr="006278AF">
        <w:rPr>
          <w:color w:val="000000"/>
          <w:szCs w:val="24"/>
        </w:rPr>
        <w:tab/>
        <w:t xml:space="preserve">8. </w:t>
      </w:r>
      <w:r w:rsidRPr="006278AF">
        <w:rPr>
          <w:color w:val="000000"/>
          <w:szCs w:val="24"/>
        </w:rPr>
        <w:tab/>
        <w:t>vernacular (North India)</w:t>
      </w:r>
    </w:p>
    <w:p w14:paraId="430D0439" w14:textId="77777777" w:rsidR="00B85FA5" w:rsidRPr="006278AF" w:rsidRDefault="00B85FA5" w:rsidP="00B85FA5">
      <w:pPr>
        <w:tabs>
          <w:tab w:val="left" w:pos="720"/>
          <w:tab w:val="left" w:pos="1170"/>
        </w:tabs>
        <w:spacing w:after="40" w:line="276" w:lineRule="auto"/>
        <w:rPr>
          <w:color w:val="000000"/>
          <w:szCs w:val="24"/>
        </w:rPr>
      </w:pPr>
      <w:r w:rsidRPr="006278AF">
        <w:rPr>
          <w:color w:val="000000"/>
          <w:szCs w:val="24"/>
        </w:rPr>
        <w:tab/>
        <w:t xml:space="preserve">9. </w:t>
      </w:r>
      <w:r w:rsidRPr="006278AF">
        <w:rPr>
          <w:color w:val="000000"/>
          <w:szCs w:val="24"/>
        </w:rPr>
        <w:tab/>
        <w:t>vernacular (South India)</w:t>
      </w:r>
    </w:p>
    <w:p w14:paraId="6567E55B" w14:textId="77777777" w:rsidR="00B85FA5" w:rsidRPr="006278AF" w:rsidRDefault="00B85FA5" w:rsidP="00B85FA5">
      <w:pPr>
        <w:tabs>
          <w:tab w:val="left" w:pos="720"/>
          <w:tab w:val="left" w:pos="1170"/>
        </w:tabs>
        <w:spacing w:after="40" w:line="276" w:lineRule="auto"/>
        <w:rPr>
          <w:color w:val="000000"/>
          <w:szCs w:val="24"/>
        </w:rPr>
      </w:pPr>
      <w:r w:rsidRPr="006278AF">
        <w:rPr>
          <w:color w:val="000000"/>
          <w:szCs w:val="24"/>
        </w:rPr>
        <w:tab/>
        <w:t xml:space="preserve">10. </w:t>
      </w:r>
      <w:r w:rsidRPr="006278AF">
        <w:rPr>
          <w:color w:val="000000"/>
          <w:szCs w:val="24"/>
        </w:rPr>
        <w:tab/>
        <w:t>visual (India)</w:t>
      </w:r>
    </w:p>
    <w:p w14:paraId="5DD6CE6A" w14:textId="77777777" w:rsidR="00B85FA5" w:rsidRPr="006278AF" w:rsidRDefault="00B85FA5" w:rsidP="00B85FA5">
      <w:pPr>
        <w:tabs>
          <w:tab w:val="left" w:pos="720"/>
          <w:tab w:val="left" w:pos="1170"/>
        </w:tabs>
        <w:spacing w:after="40" w:line="276" w:lineRule="auto"/>
        <w:rPr>
          <w:color w:val="000000"/>
          <w:szCs w:val="24"/>
        </w:rPr>
      </w:pPr>
      <w:r w:rsidRPr="006278AF">
        <w:rPr>
          <w:color w:val="000000"/>
          <w:szCs w:val="24"/>
        </w:rPr>
        <w:tab/>
        <w:t xml:space="preserve">11. </w:t>
      </w:r>
      <w:r w:rsidRPr="006278AF">
        <w:rPr>
          <w:color w:val="000000"/>
          <w:szCs w:val="24"/>
        </w:rPr>
        <w:tab/>
        <w:t>Central and East Asia</w:t>
      </w:r>
    </w:p>
    <w:p w14:paraId="14B9AA1A" w14:textId="77777777" w:rsidR="00B85FA5" w:rsidRPr="006278AF" w:rsidRDefault="00B85FA5" w:rsidP="00B85FA5">
      <w:pPr>
        <w:tabs>
          <w:tab w:val="left" w:pos="720"/>
          <w:tab w:val="left" w:pos="1170"/>
        </w:tabs>
        <w:spacing w:after="40" w:line="276" w:lineRule="auto"/>
        <w:rPr>
          <w:color w:val="000000"/>
          <w:szCs w:val="24"/>
        </w:rPr>
      </w:pPr>
      <w:r w:rsidRPr="006278AF">
        <w:rPr>
          <w:color w:val="000000"/>
          <w:szCs w:val="24"/>
        </w:rPr>
        <w:tab/>
        <w:t xml:space="preserve">12. </w:t>
      </w:r>
      <w:r w:rsidRPr="006278AF">
        <w:rPr>
          <w:color w:val="000000"/>
          <w:szCs w:val="24"/>
        </w:rPr>
        <w:tab/>
        <w:t>Southeast Asia (verbal</w:t>
      </w:r>
      <w:r>
        <w:rPr>
          <w:color w:val="000000"/>
          <w:szCs w:val="24"/>
        </w:rPr>
        <w:t xml:space="preserve"> + general</w:t>
      </w:r>
      <w:r w:rsidRPr="006278AF">
        <w:rPr>
          <w:color w:val="000000"/>
          <w:szCs w:val="24"/>
        </w:rPr>
        <w:t>)</w:t>
      </w:r>
    </w:p>
    <w:p w14:paraId="31BF6902" w14:textId="77777777" w:rsidR="00B85FA5" w:rsidRPr="006278AF" w:rsidRDefault="00B85FA5" w:rsidP="00B85FA5">
      <w:pPr>
        <w:tabs>
          <w:tab w:val="left" w:pos="720"/>
          <w:tab w:val="left" w:pos="1170"/>
        </w:tabs>
        <w:spacing w:after="40" w:line="276" w:lineRule="auto"/>
        <w:rPr>
          <w:color w:val="000000"/>
          <w:szCs w:val="24"/>
        </w:rPr>
      </w:pPr>
      <w:r w:rsidRPr="006278AF">
        <w:rPr>
          <w:color w:val="000000"/>
          <w:szCs w:val="24"/>
        </w:rPr>
        <w:tab/>
        <w:t xml:space="preserve">13. </w:t>
      </w:r>
      <w:r w:rsidRPr="006278AF">
        <w:rPr>
          <w:color w:val="000000"/>
          <w:szCs w:val="24"/>
        </w:rPr>
        <w:tab/>
        <w:t>Southeast Asia (v</w:t>
      </w:r>
      <w:r>
        <w:rPr>
          <w:color w:val="000000"/>
          <w:szCs w:val="24"/>
        </w:rPr>
        <w:t>isual</w:t>
      </w:r>
      <w:r w:rsidRPr="006278AF">
        <w:rPr>
          <w:color w:val="000000"/>
          <w:szCs w:val="24"/>
        </w:rPr>
        <w:t>)</w:t>
      </w:r>
    </w:p>
    <w:p w14:paraId="172C4919" w14:textId="77777777" w:rsidR="00B85FA5" w:rsidRPr="006278AF" w:rsidRDefault="00B85FA5" w:rsidP="00B85FA5">
      <w:pPr>
        <w:tabs>
          <w:tab w:val="left" w:pos="720"/>
          <w:tab w:val="left" w:pos="1170"/>
        </w:tabs>
        <w:spacing w:after="60" w:line="276" w:lineRule="auto"/>
        <w:rPr>
          <w:color w:val="000000"/>
          <w:szCs w:val="24"/>
        </w:rPr>
      </w:pPr>
      <w:r w:rsidRPr="006278AF">
        <w:rPr>
          <w:color w:val="000000"/>
          <w:szCs w:val="24"/>
        </w:rPr>
        <w:tab/>
        <w:t xml:space="preserve">14. </w:t>
      </w:r>
      <w:r w:rsidRPr="006278AF">
        <w:rPr>
          <w:color w:val="000000"/>
          <w:szCs w:val="24"/>
        </w:rPr>
        <w:tab/>
        <w:t>other (folk versions, etc.)</w:t>
      </w:r>
    </w:p>
    <w:p w14:paraId="18FCEF9E" w14:textId="77777777" w:rsidR="00B85FA5" w:rsidRPr="006278AF" w:rsidRDefault="00B85FA5" w:rsidP="00B85FA5">
      <w:pPr>
        <w:spacing w:before="120" w:after="60" w:line="276" w:lineRule="auto"/>
        <w:ind w:right="-7"/>
        <w:rPr>
          <w:color w:val="000000"/>
          <w:szCs w:val="24"/>
        </w:rPr>
      </w:pPr>
      <w:r w:rsidRPr="006278AF">
        <w:rPr>
          <w:color w:val="000000"/>
          <w:szCs w:val="24"/>
        </w:rPr>
        <w:t>C. Narrative Elements tabulations (cumulative and by category)</w:t>
      </w:r>
      <w:r>
        <w:rPr>
          <w:color w:val="000000"/>
          <w:szCs w:val="24"/>
        </w:rPr>
        <w:t xml:space="preserve"> (MB)</w:t>
      </w:r>
    </w:p>
    <w:p w14:paraId="3A814855" w14:textId="77777777" w:rsidR="00B85FA5" w:rsidRPr="006278AF" w:rsidRDefault="00B85FA5" w:rsidP="00B85FA5">
      <w:pPr>
        <w:tabs>
          <w:tab w:val="left" w:pos="720"/>
          <w:tab w:val="left" w:pos="1440"/>
        </w:tabs>
        <w:spacing w:after="40" w:line="276" w:lineRule="auto"/>
        <w:rPr>
          <w:color w:val="000000"/>
          <w:szCs w:val="24"/>
        </w:rPr>
      </w:pPr>
      <w:r w:rsidRPr="006278AF">
        <w:rPr>
          <w:color w:val="000000"/>
          <w:szCs w:val="24"/>
        </w:rPr>
        <w:tab/>
        <w:t xml:space="preserve">1. </w:t>
      </w:r>
      <w:r w:rsidRPr="006278AF">
        <w:rPr>
          <w:color w:val="000000"/>
          <w:szCs w:val="24"/>
        </w:rPr>
        <w:tab/>
        <w:t>cumulative (verbal and visual, including alternative names</w:t>
      </w:r>
      <w:r>
        <w:rPr>
          <w:color w:val="000000"/>
          <w:szCs w:val="24"/>
        </w:rPr>
        <w:t>, in 3 parts</w:t>
      </w:r>
      <w:r w:rsidRPr="006278AF">
        <w:rPr>
          <w:color w:val="000000"/>
          <w:szCs w:val="24"/>
        </w:rPr>
        <w:t>)</w:t>
      </w:r>
    </w:p>
    <w:p w14:paraId="0CC0A6BF" w14:textId="77777777" w:rsidR="00B85FA5" w:rsidRPr="006278AF" w:rsidRDefault="00B85FA5" w:rsidP="00B85FA5">
      <w:pPr>
        <w:tabs>
          <w:tab w:val="left" w:pos="720"/>
          <w:tab w:val="left" w:pos="1440"/>
        </w:tabs>
        <w:spacing w:after="40" w:line="276" w:lineRule="auto"/>
        <w:rPr>
          <w:color w:val="000000"/>
          <w:szCs w:val="24"/>
        </w:rPr>
      </w:pPr>
      <w:r w:rsidRPr="006278AF">
        <w:rPr>
          <w:color w:val="000000"/>
          <w:szCs w:val="24"/>
        </w:rPr>
        <w:tab/>
        <w:t xml:space="preserve">2/3A. </w:t>
      </w:r>
      <w:r w:rsidRPr="006278AF">
        <w:rPr>
          <w:color w:val="000000"/>
          <w:szCs w:val="24"/>
        </w:rPr>
        <w:tab/>
        <w:t>epics (</w:t>
      </w:r>
      <w:r w:rsidRPr="006278AF">
        <w:rPr>
          <w:i/>
          <w:color w:val="000000"/>
          <w:szCs w:val="24"/>
        </w:rPr>
        <w:t>Vālmīki Rāmāyaṇa, Mahābhārata, Harivaṃśa</w:t>
      </w:r>
      <w:r w:rsidRPr="006278AF">
        <w:rPr>
          <w:color w:val="000000"/>
          <w:szCs w:val="24"/>
        </w:rPr>
        <w:t>)</w:t>
      </w:r>
    </w:p>
    <w:p w14:paraId="55C993E6" w14:textId="77777777" w:rsidR="00B85FA5" w:rsidRPr="006278AF" w:rsidRDefault="00B85FA5" w:rsidP="00B85FA5">
      <w:pPr>
        <w:tabs>
          <w:tab w:val="left" w:pos="720"/>
          <w:tab w:val="left" w:pos="1440"/>
        </w:tabs>
        <w:spacing w:after="40" w:line="276" w:lineRule="auto"/>
        <w:rPr>
          <w:color w:val="000000"/>
          <w:szCs w:val="24"/>
        </w:rPr>
      </w:pPr>
      <w:r w:rsidRPr="006278AF">
        <w:rPr>
          <w:color w:val="000000"/>
          <w:szCs w:val="24"/>
        </w:rPr>
        <w:tab/>
        <w:t xml:space="preserve">3B. </w:t>
      </w:r>
      <w:r w:rsidRPr="006278AF">
        <w:rPr>
          <w:color w:val="000000"/>
          <w:szCs w:val="24"/>
        </w:rPr>
        <w:tab/>
        <w:t>Purāṇas</w:t>
      </w:r>
    </w:p>
    <w:p w14:paraId="313BC655" w14:textId="77777777" w:rsidR="00B85FA5" w:rsidRPr="006278AF" w:rsidRDefault="00B85FA5" w:rsidP="00B85FA5">
      <w:pPr>
        <w:tabs>
          <w:tab w:val="left" w:pos="720"/>
          <w:tab w:val="left" w:pos="1440"/>
        </w:tabs>
        <w:spacing w:after="40" w:line="276" w:lineRule="auto"/>
        <w:rPr>
          <w:color w:val="000000"/>
          <w:szCs w:val="24"/>
        </w:rPr>
      </w:pPr>
      <w:r w:rsidRPr="006278AF">
        <w:rPr>
          <w:color w:val="000000"/>
          <w:szCs w:val="24"/>
        </w:rPr>
        <w:tab/>
        <w:t xml:space="preserve">4. </w:t>
      </w:r>
      <w:r w:rsidRPr="006278AF">
        <w:rPr>
          <w:color w:val="000000"/>
          <w:szCs w:val="24"/>
        </w:rPr>
        <w:tab/>
        <w:t>Classical Sanskrit literature</w:t>
      </w:r>
    </w:p>
    <w:p w14:paraId="5D34744F" w14:textId="77777777" w:rsidR="00B85FA5" w:rsidRPr="006278AF" w:rsidRDefault="00B85FA5" w:rsidP="00B85FA5">
      <w:pPr>
        <w:tabs>
          <w:tab w:val="left" w:pos="720"/>
          <w:tab w:val="left" w:pos="1440"/>
        </w:tabs>
        <w:spacing w:after="40" w:line="276" w:lineRule="auto"/>
        <w:rPr>
          <w:color w:val="000000"/>
          <w:szCs w:val="24"/>
        </w:rPr>
      </w:pPr>
      <w:r w:rsidRPr="006278AF">
        <w:rPr>
          <w:color w:val="000000"/>
          <w:szCs w:val="24"/>
        </w:rPr>
        <w:tab/>
        <w:t xml:space="preserve">5. </w:t>
      </w:r>
      <w:r w:rsidRPr="006278AF">
        <w:rPr>
          <w:color w:val="000000"/>
          <w:szCs w:val="24"/>
        </w:rPr>
        <w:tab/>
        <w:t>Buddhist (South Asia)</w:t>
      </w:r>
    </w:p>
    <w:p w14:paraId="405ED4D7" w14:textId="77777777" w:rsidR="00B85FA5" w:rsidRPr="006278AF" w:rsidRDefault="00B85FA5" w:rsidP="00B85FA5">
      <w:pPr>
        <w:tabs>
          <w:tab w:val="left" w:pos="720"/>
          <w:tab w:val="left" w:pos="1440"/>
        </w:tabs>
        <w:spacing w:after="40" w:line="276" w:lineRule="auto"/>
        <w:rPr>
          <w:color w:val="000000"/>
          <w:szCs w:val="24"/>
        </w:rPr>
      </w:pPr>
      <w:r w:rsidRPr="006278AF">
        <w:rPr>
          <w:color w:val="000000"/>
          <w:szCs w:val="24"/>
        </w:rPr>
        <w:tab/>
        <w:t xml:space="preserve">6. </w:t>
      </w:r>
      <w:r w:rsidRPr="006278AF">
        <w:rPr>
          <w:color w:val="000000"/>
          <w:szCs w:val="24"/>
        </w:rPr>
        <w:tab/>
        <w:t>Jain</w:t>
      </w:r>
    </w:p>
    <w:p w14:paraId="1118034A" w14:textId="77777777" w:rsidR="00B85FA5" w:rsidRPr="006278AF" w:rsidRDefault="00B85FA5" w:rsidP="00B85FA5">
      <w:pPr>
        <w:tabs>
          <w:tab w:val="left" w:pos="720"/>
          <w:tab w:val="left" w:pos="1440"/>
          <w:tab w:val="left" w:pos="1800"/>
        </w:tabs>
        <w:spacing w:after="40" w:line="276" w:lineRule="auto"/>
        <w:rPr>
          <w:color w:val="000000"/>
          <w:szCs w:val="24"/>
        </w:rPr>
      </w:pPr>
      <w:r w:rsidRPr="006278AF">
        <w:rPr>
          <w:color w:val="000000"/>
          <w:szCs w:val="24"/>
        </w:rPr>
        <w:tab/>
        <w:t xml:space="preserve">7. </w:t>
      </w:r>
      <w:r w:rsidRPr="006278AF">
        <w:rPr>
          <w:color w:val="000000"/>
          <w:szCs w:val="24"/>
        </w:rPr>
        <w:tab/>
        <w:t>Instructional texts</w:t>
      </w:r>
    </w:p>
    <w:p w14:paraId="6142F6C9" w14:textId="77777777" w:rsidR="00B85FA5" w:rsidRPr="006278AF" w:rsidRDefault="00B85FA5" w:rsidP="00B85FA5">
      <w:pPr>
        <w:tabs>
          <w:tab w:val="left" w:pos="720"/>
          <w:tab w:val="left" w:pos="1440"/>
        </w:tabs>
        <w:spacing w:after="40" w:line="276" w:lineRule="auto"/>
        <w:rPr>
          <w:color w:val="000000"/>
          <w:szCs w:val="24"/>
        </w:rPr>
      </w:pPr>
      <w:r w:rsidRPr="006278AF">
        <w:rPr>
          <w:color w:val="000000"/>
          <w:szCs w:val="24"/>
        </w:rPr>
        <w:tab/>
        <w:t xml:space="preserve">8. </w:t>
      </w:r>
      <w:r w:rsidRPr="006278AF">
        <w:rPr>
          <w:color w:val="000000"/>
          <w:szCs w:val="24"/>
        </w:rPr>
        <w:tab/>
        <w:t>vernacular (North India), including Sikh</w:t>
      </w:r>
    </w:p>
    <w:p w14:paraId="6102731B" w14:textId="77777777" w:rsidR="00B85FA5" w:rsidRPr="006278AF" w:rsidRDefault="00B85FA5" w:rsidP="00B85FA5">
      <w:pPr>
        <w:tabs>
          <w:tab w:val="left" w:pos="720"/>
          <w:tab w:val="left" w:pos="1440"/>
          <w:tab w:val="left" w:pos="1800"/>
        </w:tabs>
        <w:spacing w:after="40" w:line="276" w:lineRule="auto"/>
        <w:rPr>
          <w:color w:val="000000"/>
          <w:szCs w:val="24"/>
        </w:rPr>
      </w:pPr>
      <w:r w:rsidRPr="006278AF">
        <w:rPr>
          <w:color w:val="000000"/>
          <w:szCs w:val="24"/>
        </w:rPr>
        <w:tab/>
      </w:r>
      <w:r w:rsidRPr="006278AF">
        <w:rPr>
          <w:color w:val="000000"/>
          <w:szCs w:val="24"/>
        </w:rPr>
        <w:tab/>
      </w:r>
      <w:r w:rsidRPr="006278AF">
        <w:rPr>
          <w:color w:val="000000"/>
          <w:szCs w:val="24"/>
        </w:rPr>
        <w:tab/>
        <w:t>8A. Sikh</w:t>
      </w:r>
    </w:p>
    <w:p w14:paraId="3606B6D7" w14:textId="77777777" w:rsidR="00B85FA5" w:rsidRPr="006278AF" w:rsidRDefault="00B85FA5" w:rsidP="00B85FA5">
      <w:pPr>
        <w:tabs>
          <w:tab w:val="left" w:pos="720"/>
          <w:tab w:val="left" w:pos="1440"/>
        </w:tabs>
        <w:spacing w:after="40" w:line="276" w:lineRule="auto"/>
        <w:rPr>
          <w:color w:val="000000"/>
          <w:szCs w:val="24"/>
        </w:rPr>
      </w:pPr>
      <w:r w:rsidRPr="006278AF">
        <w:rPr>
          <w:color w:val="000000"/>
          <w:szCs w:val="24"/>
        </w:rPr>
        <w:tab/>
        <w:t xml:space="preserve">9. </w:t>
      </w:r>
      <w:r w:rsidRPr="006278AF">
        <w:rPr>
          <w:color w:val="000000"/>
          <w:szCs w:val="24"/>
        </w:rPr>
        <w:tab/>
        <w:t>vernacular (South India)</w:t>
      </w:r>
    </w:p>
    <w:p w14:paraId="3AA11C64" w14:textId="77777777" w:rsidR="00B85FA5" w:rsidRPr="006278AF" w:rsidRDefault="00B85FA5" w:rsidP="00B85FA5">
      <w:pPr>
        <w:tabs>
          <w:tab w:val="left" w:pos="720"/>
          <w:tab w:val="left" w:pos="1440"/>
        </w:tabs>
        <w:spacing w:after="40" w:line="276" w:lineRule="auto"/>
        <w:rPr>
          <w:color w:val="000000"/>
          <w:szCs w:val="24"/>
        </w:rPr>
      </w:pPr>
      <w:r w:rsidRPr="006278AF">
        <w:rPr>
          <w:color w:val="000000"/>
          <w:szCs w:val="24"/>
        </w:rPr>
        <w:tab/>
        <w:t xml:space="preserve">10. </w:t>
      </w:r>
      <w:r w:rsidRPr="006278AF">
        <w:rPr>
          <w:color w:val="000000"/>
          <w:szCs w:val="24"/>
        </w:rPr>
        <w:tab/>
        <w:t>visual (India)</w:t>
      </w:r>
    </w:p>
    <w:p w14:paraId="51CAEA57" w14:textId="77777777" w:rsidR="00B85FA5" w:rsidRPr="006278AF" w:rsidRDefault="00B85FA5" w:rsidP="00B85FA5">
      <w:pPr>
        <w:tabs>
          <w:tab w:val="left" w:pos="720"/>
          <w:tab w:val="left" w:pos="1440"/>
        </w:tabs>
        <w:spacing w:after="40" w:line="276" w:lineRule="auto"/>
        <w:rPr>
          <w:color w:val="000000"/>
          <w:szCs w:val="24"/>
        </w:rPr>
      </w:pPr>
      <w:r w:rsidRPr="006278AF">
        <w:rPr>
          <w:color w:val="000000"/>
          <w:szCs w:val="24"/>
        </w:rPr>
        <w:tab/>
        <w:t xml:space="preserve">11. </w:t>
      </w:r>
      <w:r w:rsidRPr="006278AF">
        <w:rPr>
          <w:color w:val="000000"/>
          <w:szCs w:val="24"/>
        </w:rPr>
        <w:tab/>
        <w:t>Central and East Asia</w:t>
      </w:r>
    </w:p>
    <w:p w14:paraId="708CE66A" w14:textId="77777777" w:rsidR="00B85FA5" w:rsidRPr="006278AF" w:rsidRDefault="00B85FA5" w:rsidP="00B85FA5">
      <w:pPr>
        <w:tabs>
          <w:tab w:val="left" w:pos="720"/>
          <w:tab w:val="left" w:pos="1440"/>
          <w:tab w:val="left" w:pos="1800"/>
        </w:tabs>
        <w:spacing w:after="60" w:line="276" w:lineRule="auto"/>
        <w:rPr>
          <w:color w:val="000000"/>
          <w:szCs w:val="24"/>
        </w:rPr>
      </w:pPr>
      <w:r w:rsidRPr="006278AF">
        <w:rPr>
          <w:color w:val="000000"/>
          <w:szCs w:val="24"/>
        </w:rPr>
        <w:tab/>
        <w:t xml:space="preserve">12/13. </w:t>
      </w:r>
      <w:r w:rsidRPr="006278AF">
        <w:rPr>
          <w:color w:val="000000"/>
          <w:szCs w:val="24"/>
        </w:rPr>
        <w:tab/>
        <w:t>Southeast Asia (verbal and visual)</w:t>
      </w:r>
    </w:p>
    <w:p w14:paraId="68707667" w14:textId="77777777" w:rsidR="00B85FA5" w:rsidRPr="006278AF" w:rsidRDefault="00B85FA5" w:rsidP="00B85FA5">
      <w:pPr>
        <w:keepNext/>
        <w:spacing w:before="120" w:after="60" w:line="276" w:lineRule="auto"/>
        <w:rPr>
          <w:color w:val="000000"/>
          <w:szCs w:val="24"/>
        </w:rPr>
      </w:pPr>
      <w:r w:rsidRPr="006278AF">
        <w:rPr>
          <w:color w:val="000000"/>
          <w:szCs w:val="24"/>
        </w:rPr>
        <w:lastRenderedPageBreak/>
        <w:t>D. Ancillary material</w:t>
      </w:r>
      <w:r w:rsidRPr="006278AF">
        <w:rPr>
          <w:color w:val="000000"/>
          <w:szCs w:val="24"/>
        </w:rPr>
        <w:tab/>
      </w:r>
      <w:r w:rsidRPr="006278AF">
        <w:rPr>
          <w:color w:val="000000"/>
          <w:szCs w:val="24"/>
        </w:rPr>
        <w:tab/>
      </w:r>
    </w:p>
    <w:p w14:paraId="3D7B3E09" w14:textId="77777777" w:rsidR="00B85FA5" w:rsidRPr="006278AF" w:rsidRDefault="00B85FA5" w:rsidP="00B85FA5">
      <w:pPr>
        <w:spacing w:after="40" w:line="276" w:lineRule="auto"/>
        <w:rPr>
          <w:color w:val="000000"/>
          <w:szCs w:val="24"/>
        </w:rPr>
      </w:pPr>
      <w:r w:rsidRPr="006278AF">
        <w:rPr>
          <w:color w:val="000000"/>
          <w:szCs w:val="24"/>
        </w:rPr>
        <w:tab/>
        <w:t>Alternative names (incomplete)</w:t>
      </w:r>
    </w:p>
    <w:p w14:paraId="3C07B955" w14:textId="77777777" w:rsidR="00B85FA5" w:rsidRPr="006278AF" w:rsidRDefault="00B85FA5" w:rsidP="00B85FA5">
      <w:pPr>
        <w:spacing w:after="40" w:line="276" w:lineRule="auto"/>
        <w:rPr>
          <w:color w:val="000000"/>
          <w:szCs w:val="24"/>
        </w:rPr>
      </w:pPr>
      <w:r w:rsidRPr="006278AF">
        <w:rPr>
          <w:color w:val="000000"/>
          <w:szCs w:val="24"/>
        </w:rPr>
        <w:tab/>
        <w:t>Dates of texts (tentative)</w:t>
      </w:r>
    </w:p>
    <w:p w14:paraId="0F5DD876" w14:textId="77777777" w:rsidR="00B85FA5" w:rsidRPr="006278AF" w:rsidRDefault="00B85FA5" w:rsidP="00B85FA5">
      <w:pPr>
        <w:spacing w:after="40" w:line="276" w:lineRule="auto"/>
        <w:rPr>
          <w:color w:val="000000"/>
          <w:szCs w:val="24"/>
        </w:rPr>
      </w:pPr>
      <w:r w:rsidRPr="006278AF">
        <w:rPr>
          <w:color w:val="000000"/>
          <w:szCs w:val="24"/>
        </w:rPr>
        <w:tab/>
        <w:t>Further notes (verbal/general)</w:t>
      </w:r>
    </w:p>
    <w:p w14:paraId="1E45CD88" w14:textId="77777777" w:rsidR="00B85FA5" w:rsidRPr="006278AF" w:rsidRDefault="00B85FA5" w:rsidP="00B85FA5">
      <w:pPr>
        <w:spacing w:after="40" w:line="276" w:lineRule="auto"/>
        <w:rPr>
          <w:color w:val="000000"/>
          <w:szCs w:val="24"/>
        </w:rPr>
      </w:pPr>
      <w:r w:rsidRPr="006278AF">
        <w:rPr>
          <w:color w:val="000000"/>
          <w:szCs w:val="24"/>
        </w:rPr>
        <w:tab/>
        <w:t>Further Notes (visual), including visual Rāmāyaṇa locations</w:t>
      </w:r>
    </w:p>
    <w:p w14:paraId="76EAA9C1" w14:textId="77777777" w:rsidR="00B85FA5" w:rsidRPr="006278AF" w:rsidRDefault="00B85FA5" w:rsidP="00B85FA5">
      <w:pPr>
        <w:tabs>
          <w:tab w:val="left" w:pos="720"/>
          <w:tab w:val="left" w:pos="1080"/>
        </w:tabs>
        <w:spacing w:after="40" w:line="276" w:lineRule="auto"/>
        <w:rPr>
          <w:color w:val="000000"/>
          <w:szCs w:val="24"/>
        </w:rPr>
      </w:pPr>
      <w:r w:rsidRPr="006278AF">
        <w:rPr>
          <w:color w:val="000000"/>
          <w:szCs w:val="24"/>
        </w:rPr>
        <w:tab/>
        <w:t>Publications and lectures</w:t>
      </w:r>
    </w:p>
    <w:p w14:paraId="237F38AB" w14:textId="77777777" w:rsidR="00B85FA5" w:rsidRPr="006278AF" w:rsidRDefault="00B85FA5" w:rsidP="00B85FA5">
      <w:pPr>
        <w:tabs>
          <w:tab w:val="left" w:pos="720"/>
          <w:tab w:val="left" w:pos="1080"/>
          <w:tab w:val="left" w:pos="1170"/>
        </w:tabs>
        <w:spacing w:after="40" w:line="276" w:lineRule="auto"/>
        <w:rPr>
          <w:color w:val="000000"/>
          <w:szCs w:val="24"/>
        </w:rPr>
      </w:pPr>
      <w:r w:rsidRPr="006278AF">
        <w:rPr>
          <w:color w:val="000000"/>
          <w:szCs w:val="24"/>
        </w:rPr>
        <w:tab/>
      </w:r>
      <w:r w:rsidRPr="006278AF">
        <w:rPr>
          <w:color w:val="000000"/>
          <w:szCs w:val="24"/>
        </w:rPr>
        <w:tab/>
        <w:t>Brockington publications list (and CVs)</w:t>
      </w:r>
    </w:p>
    <w:p w14:paraId="62ADACCB" w14:textId="77777777" w:rsidR="00B85FA5" w:rsidRPr="006278AF" w:rsidRDefault="00B85FA5" w:rsidP="00B85FA5">
      <w:pPr>
        <w:tabs>
          <w:tab w:val="left" w:pos="720"/>
          <w:tab w:val="left" w:pos="1080"/>
          <w:tab w:val="left" w:pos="1170"/>
        </w:tabs>
        <w:spacing w:after="40" w:line="276" w:lineRule="auto"/>
        <w:rPr>
          <w:color w:val="000000"/>
          <w:szCs w:val="24"/>
        </w:rPr>
      </w:pPr>
      <w:r w:rsidRPr="006278AF">
        <w:rPr>
          <w:color w:val="000000"/>
          <w:szCs w:val="24"/>
        </w:rPr>
        <w:tab/>
      </w:r>
      <w:r w:rsidRPr="006278AF">
        <w:rPr>
          <w:color w:val="000000"/>
          <w:szCs w:val="24"/>
        </w:rPr>
        <w:tab/>
        <w:t>JLB publications</w:t>
      </w:r>
    </w:p>
    <w:p w14:paraId="3BCADC2F" w14:textId="77777777" w:rsidR="00B85FA5" w:rsidRPr="006278AF" w:rsidRDefault="00B85FA5" w:rsidP="00B85FA5">
      <w:pPr>
        <w:tabs>
          <w:tab w:val="left" w:pos="720"/>
          <w:tab w:val="left" w:pos="1080"/>
          <w:tab w:val="left" w:pos="1170"/>
        </w:tabs>
        <w:spacing w:after="40" w:line="276" w:lineRule="auto"/>
        <w:rPr>
          <w:color w:val="000000"/>
          <w:szCs w:val="24"/>
        </w:rPr>
      </w:pPr>
      <w:r w:rsidRPr="006278AF">
        <w:rPr>
          <w:color w:val="000000"/>
          <w:szCs w:val="24"/>
        </w:rPr>
        <w:tab/>
      </w:r>
      <w:r w:rsidRPr="006278AF">
        <w:rPr>
          <w:color w:val="000000"/>
          <w:szCs w:val="24"/>
        </w:rPr>
        <w:tab/>
        <w:t>MB publications</w:t>
      </w:r>
    </w:p>
    <w:p w14:paraId="706DDB40" w14:textId="62B57B55" w:rsidR="00B85FA5" w:rsidRPr="006278AF" w:rsidRDefault="00B85FA5" w:rsidP="00B85FA5">
      <w:pPr>
        <w:tabs>
          <w:tab w:val="left" w:pos="720"/>
          <w:tab w:val="left" w:pos="1080"/>
        </w:tabs>
        <w:spacing w:after="40" w:line="276" w:lineRule="auto"/>
        <w:rPr>
          <w:color w:val="000000"/>
          <w:szCs w:val="24"/>
        </w:rPr>
      </w:pPr>
      <w:r w:rsidRPr="006278AF">
        <w:rPr>
          <w:color w:val="000000"/>
          <w:szCs w:val="24"/>
        </w:rPr>
        <w:tab/>
      </w:r>
      <w:r w:rsidRPr="006278AF">
        <w:rPr>
          <w:color w:val="000000"/>
          <w:szCs w:val="24"/>
        </w:rPr>
        <w:tab/>
        <w:t xml:space="preserve">Lectures and papers </w:t>
      </w:r>
      <w:r w:rsidR="004B3BB9">
        <w:rPr>
          <w:color w:val="000000"/>
          <w:szCs w:val="24"/>
        </w:rPr>
        <w:t xml:space="preserve">– </w:t>
      </w:r>
      <w:r w:rsidRPr="006278AF">
        <w:rPr>
          <w:color w:val="000000"/>
          <w:szCs w:val="24"/>
        </w:rPr>
        <w:t>unpublished</w:t>
      </w:r>
    </w:p>
    <w:p w14:paraId="418120D5" w14:textId="77777777" w:rsidR="00B85FA5" w:rsidRPr="006278AF" w:rsidRDefault="00B85FA5" w:rsidP="00B85FA5">
      <w:pPr>
        <w:tabs>
          <w:tab w:val="left" w:pos="720"/>
          <w:tab w:val="left" w:pos="1080"/>
        </w:tabs>
        <w:spacing w:after="40" w:line="276" w:lineRule="auto"/>
        <w:rPr>
          <w:color w:val="000000"/>
          <w:szCs w:val="24"/>
        </w:rPr>
      </w:pPr>
      <w:r w:rsidRPr="006278AF">
        <w:rPr>
          <w:color w:val="000000"/>
          <w:szCs w:val="24"/>
        </w:rPr>
        <w:tab/>
      </w:r>
      <w:r w:rsidRPr="006278AF">
        <w:rPr>
          <w:color w:val="000000"/>
          <w:szCs w:val="24"/>
        </w:rPr>
        <w:tab/>
        <w:t>Notes towards publications</w:t>
      </w:r>
    </w:p>
    <w:p w14:paraId="11D56B84" w14:textId="364F500A" w:rsidR="00B85FA5" w:rsidRPr="006278AF" w:rsidRDefault="00B85FA5" w:rsidP="00B85FA5">
      <w:pPr>
        <w:spacing w:after="40" w:line="276" w:lineRule="auto"/>
        <w:rPr>
          <w:color w:val="000000"/>
          <w:szCs w:val="24"/>
        </w:rPr>
      </w:pPr>
      <w:r w:rsidRPr="006278AF">
        <w:rPr>
          <w:color w:val="000000"/>
          <w:szCs w:val="24"/>
        </w:rPr>
        <w:tab/>
        <w:t>Photographs</w:t>
      </w:r>
      <w:r w:rsidR="00C325E9">
        <w:rPr>
          <w:color w:val="000000"/>
          <w:szCs w:val="24"/>
        </w:rPr>
        <w:t xml:space="preserve"> (JLB)</w:t>
      </w:r>
    </w:p>
    <w:p w14:paraId="299A13AA" w14:textId="1F7EB170" w:rsidR="00B85FA5" w:rsidRDefault="00B85FA5" w:rsidP="00C325E9">
      <w:pPr>
        <w:tabs>
          <w:tab w:val="left" w:pos="720"/>
          <w:tab w:val="left" w:pos="1080"/>
        </w:tabs>
        <w:spacing w:after="40" w:line="276" w:lineRule="auto"/>
        <w:rPr>
          <w:color w:val="000000"/>
          <w:szCs w:val="24"/>
        </w:rPr>
      </w:pPr>
      <w:r w:rsidRPr="006278AF">
        <w:rPr>
          <w:color w:val="000000"/>
          <w:szCs w:val="24"/>
        </w:rPr>
        <w:tab/>
      </w:r>
      <w:r w:rsidRPr="006278AF">
        <w:rPr>
          <w:color w:val="000000"/>
          <w:szCs w:val="24"/>
        </w:rPr>
        <w:tab/>
      </w:r>
      <w:r w:rsidR="00C325E9">
        <w:rPr>
          <w:color w:val="000000"/>
          <w:szCs w:val="24"/>
        </w:rPr>
        <w:t>Rāmāyaṇa-related photographs</w:t>
      </w:r>
    </w:p>
    <w:p w14:paraId="5A69C916" w14:textId="4775688B" w:rsidR="00C325E9" w:rsidRPr="006278AF" w:rsidRDefault="00C325E9" w:rsidP="00C325E9">
      <w:pPr>
        <w:tabs>
          <w:tab w:val="left" w:pos="720"/>
          <w:tab w:val="left" w:pos="1080"/>
        </w:tabs>
        <w:spacing w:after="40" w:line="276" w:lineRule="auto"/>
        <w:rPr>
          <w:color w:val="000000"/>
          <w:szCs w:val="24"/>
        </w:rPr>
      </w:pPr>
      <w:r>
        <w:rPr>
          <w:color w:val="000000"/>
          <w:szCs w:val="24"/>
        </w:rPr>
        <w:tab/>
      </w:r>
      <w:r>
        <w:rPr>
          <w:color w:val="000000"/>
          <w:szCs w:val="24"/>
        </w:rPr>
        <w:tab/>
        <w:t>photos of Indian monuments, etc.</w:t>
      </w:r>
    </w:p>
    <w:p w14:paraId="16F118F5" w14:textId="77777777" w:rsidR="00B85FA5" w:rsidRDefault="00B85FA5" w:rsidP="00B85FA5">
      <w:pPr>
        <w:spacing w:before="120" w:after="60" w:line="276" w:lineRule="auto"/>
        <w:rPr>
          <w:color w:val="000000"/>
          <w:szCs w:val="24"/>
        </w:rPr>
      </w:pPr>
      <w:r w:rsidRPr="006278AF">
        <w:rPr>
          <w:color w:val="000000"/>
          <w:szCs w:val="24"/>
        </w:rPr>
        <w:t>E. ‘Development of the Rāmāyaṇa tradition’ (JLB)</w:t>
      </w:r>
    </w:p>
    <w:p w14:paraId="3A572B52" w14:textId="77777777" w:rsidR="00B85FA5" w:rsidRPr="00127FF4" w:rsidRDefault="00B85FA5" w:rsidP="00B85FA5">
      <w:pPr>
        <w:spacing w:before="120" w:after="60" w:line="276" w:lineRule="auto"/>
        <w:rPr>
          <w:color w:val="000000"/>
          <w:szCs w:val="24"/>
        </w:rPr>
      </w:pPr>
      <w:r w:rsidRPr="00127FF4">
        <w:rPr>
          <w:color w:val="000000"/>
          <w:szCs w:val="24"/>
        </w:rPr>
        <w:t>F. ‘New Beginnings, old material:</w:t>
      </w:r>
      <w:r w:rsidRPr="00127FF4">
        <w:t xml:space="preserve"> planning the rest of R</w:t>
      </w:r>
      <w:r w:rsidRPr="00127FF4">
        <w:rPr>
          <w:rFonts w:cs="Cambria"/>
        </w:rPr>
        <w:t>ā</w:t>
      </w:r>
      <w:r w:rsidRPr="00127FF4">
        <w:t>ma’s life</w:t>
      </w:r>
      <w:r w:rsidRPr="00127FF4">
        <w:rPr>
          <w:color w:val="000000"/>
          <w:szCs w:val="24"/>
        </w:rPr>
        <w:t>’ (MB)</w:t>
      </w:r>
    </w:p>
    <w:p w14:paraId="3D25CB18" w14:textId="2574535C" w:rsidR="00B85FA5" w:rsidRPr="0001375C" w:rsidRDefault="00B85FA5" w:rsidP="0001375C">
      <w:pPr>
        <w:spacing w:line="276" w:lineRule="auto"/>
        <w:rPr>
          <w:color w:val="000000"/>
          <w:sz w:val="20"/>
        </w:rPr>
      </w:pPr>
    </w:p>
    <w:p w14:paraId="6DED3D8B" w14:textId="51269213" w:rsidR="00B85FA5" w:rsidRPr="006278AF" w:rsidRDefault="0001375C" w:rsidP="00B85FA5">
      <w:pPr>
        <w:spacing w:after="120" w:line="276" w:lineRule="auto"/>
        <w:jc w:val="both"/>
        <w:rPr>
          <w:rFonts w:cs="Gentium"/>
          <w:b/>
          <w:i/>
          <w:color w:val="000000"/>
          <w:szCs w:val="24"/>
        </w:rPr>
      </w:pPr>
      <w:r>
        <w:rPr>
          <w:rFonts w:cs="Gentium"/>
          <w:b/>
          <w:i/>
          <w:color w:val="000000"/>
          <w:sz w:val="28"/>
          <w:szCs w:val="24"/>
        </w:rPr>
        <w:t xml:space="preserve">A. </w:t>
      </w:r>
      <w:r w:rsidR="00B85FA5" w:rsidRPr="006278AF">
        <w:rPr>
          <w:rFonts w:cs="Gentium"/>
          <w:b/>
          <w:i/>
          <w:color w:val="000000"/>
          <w:sz w:val="28"/>
          <w:szCs w:val="24"/>
        </w:rPr>
        <w:t>Bibliographic Inventory</w:t>
      </w:r>
    </w:p>
    <w:p w14:paraId="415EF7EE" w14:textId="120CB635" w:rsidR="00B85FA5" w:rsidRPr="006278AF" w:rsidRDefault="00B85FA5" w:rsidP="00B85FA5">
      <w:pPr>
        <w:spacing w:after="60" w:line="276" w:lineRule="auto"/>
        <w:jc w:val="both"/>
        <w:rPr>
          <w:rFonts w:cs="Gentium"/>
          <w:color w:val="000000"/>
          <w:szCs w:val="24"/>
        </w:rPr>
      </w:pPr>
      <w:r w:rsidRPr="006278AF">
        <w:rPr>
          <w:rFonts w:cs="Gentium"/>
          <w:color w:val="000000"/>
          <w:szCs w:val="24"/>
        </w:rPr>
        <w:t xml:space="preserve">The </w:t>
      </w:r>
      <w:r w:rsidRPr="006278AF">
        <w:rPr>
          <w:rFonts w:cs="Gentium"/>
          <w:b/>
          <w:color w:val="000000"/>
          <w:szCs w:val="24"/>
        </w:rPr>
        <w:t>Amalgamated Bibliography</w:t>
      </w:r>
      <w:r w:rsidRPr="006278AF">
        <w:rPr>
          <w:rFonts w:cs="Gentium"/>
          <w:color w:val="000000"/>
          <w:szCs w:val="24"/>
        </w:rPr>
        <w:t xml:space="preserve"> is a complete listing under author’s name, where known, or title for anonymous works, of all primary and secondary sources consulted.  Where the title makes an item seem more relevant than it actually is, this is usually signalled in some way.  Shelfmarks within the Bodleian Libraries system are regularly included, using the abbreviations </w:t>
      </w:r>
      <w:r w:rsidRPr="006278AF">
        <w:rPr>
          <w:rFonts w:cs="Gentium"/>
          <w:b/>
          <w:color w:val="000000"/>
          <w:szCs w:val="24"/>
        </w:rPr>
        <w:t>Bod.</w:t>
      </w:r>
      <w:r w:rsidRPr="006278AF">
        <w:rPr>
          <w:rFonts w:cs="Gentium"/>
          <w:color w:val="000000"/>
          <w:szCs w:val="24"/>
        </w:rPr>
        <w:t xml:space="preserve"> for some of it, </w:t>
      </w:r>
      <w:r w:rsidRPr="006278AF">
        <w:rPr>
          <w:rFonts w:cs="Gentium"/>
          <w:b/>
          <w:bCs/>
          <w:color w:val="000000"/>
          <w:szCs w:val="24"/>
        </w:rPr>
        <w:t>Ind. Inst.</w:t>
      </w:r>
      <w:r w:rsidRPr="006278AF">
        <w:rPr>
          <w:rFonts w:cs="Gentium"/>
          <w:color w:val="000000"/>
          <w:szCs w:val="24"/>
        </w:rPr>
        <w:t xml:space="preserve"> or </w:t>
      </w:r>
      <w:r w:rsidRPr="006278AF">
        <w:rPr>
          <w:rFonts w:cs="Gentium"/>
          <w:b/>
          <w:bCs/>
          <w:color w:val="000000"/>
          <w:szCs w:val="24"/>
        </w:rPr>
        <w:t>(IND)</w:t>
      </w:r>
      <w:r w:rsidRPr="006278AF">
        <w:rPr>
          <w:rFonts w:cs="Gentium"/>
          <w:color w:val="000000"/>
          <w:szCs w:val="24"/>
        </w:rPr>
        <w:t xml:space="preserve"> for Indian Institute material, </w:t>
      </w:r>
      <w:r w:rsidRPr="006278AF">
        <w:rPr>
          <w:rFonts w:cs="Gentium"/>
          <w:b/>
          <w:bCs/>
          <w:color w:val="000000"/>
          <w:szCs w:val="24"/>
        </w:rPr>
        <w:t>OIL</w:t>
      </w:r>
      <w:r w:rsidRPr="006278AF">
        <w:rPr>
          <w:rFonts w:cs="Gentium"/>
          <w:color w:val="000000"/>
          <w:szCs w:val="24"/>
        </w:rPr>
        <w:t xml:space="preserve"> for the Oriental Institute Library</w:t>
      </w:r>
      <w:r w:rsidR="00836FE9">
        <w:rPr>
          <w:rFonts w:cs="Gentium"/>
          <w:color w:val="000000"/>
          <w:szCs w:val="24"/>
        </w:rPr>
        <w:t xml:space="preserve"> (now </w:t>
      </w:r>
      <w:r w:rsidR="00836FE9">
        <w:rPr>
          <w:color w:val="000000" w:themeColor="text1"/>
        </w:rPr>
        <w:t>Nizami Ganjavi Library)</w:t>
      </w:r>
      <w:r w:rsidRPr="006278AF">
        <w:rPr>
          <w:rFonts w:cs="Gentium"/>
          <w:color w:val="000000"/>
          <w:szCs w:val="24"/>
        </w:rPr>
        <w:t xml:space="preserve"> and </w:t>
      </w:r>
      <w:r w:rsidRPr="006278AF">
        <w:rPr>
          <w:rFonts w:cs="Gentium"/>
          <w:b/>
          <w:bCs/>
          <w:color w:val="000000"/>
          <w:szCs w:val="24"/>
        </w:rPr>
        <w:t>Sackler</w:t>
      </w:r>
      <w:r w:rsidR="00E30D7D">
        <w:rPr>
          <w:rFonts w:cs="Gentium"/>
          <w:b/>
          <w:bCs/>
          <w:color w:val="000000"/>
          <w:szCs w:val="24"/>
        </w:rPr>
        <w:t>/AAAW</w:t>
      </w:r>
      <w:r w:rsidRPr="006278AF">
        <w:rPr>
          <w:rFonts w:cs="Gentium"/>
          <w:color w:val="000000"/>
          <w:szCs w:val="24"/>
        </w:rPr>
        <w:t xml:space="preserve"> for the</w:t>
      </w:r>
      <w:r w:rsidR="00E30D7D">
        <w:rPr>
          <w:rFonts w:cs="Gentium"/>
          <w:color w:val="000000"/>
          <w:szCs w:val="24"/>
        </w:rPr>
        <w:t xml:space="preserve"> former</w:t>
      </w:r>
      <w:r w:rsidRPr="006278AF">
        <w:rPr>
          <w:rFonts w:cs="Gentium"/>
          <w:color w:val="000000"/>
          <w:szCs w:val="24"/>
        </w:rPr>
        <w:t xml:space="preserve"> Sackler</w:t>
      </w:r>
      <w:r w:rsidR="006A4E6B">
        <w:rPr>
          <w:rFonts w:cs="Gentium"/>
          <w:color w:val="000000"/>
          <w:szCs w:val="24"/>
        </w:rPr>
        <w:t xml:space="preserve"> Library</w:t>
      </w:r>
      <w:r w:rsidR="00E30D7D">
        <w:rPr>
          <w:rFonts w:cs="Gentium"/>
          <w:color w:val="000000"/>
          <w:szCs w:val="24"/>
        </w:rPr>
        <w:t>, now Art, Architecture and Ancient World</w:t>
      </w:r>
      <w:r w:rsidRPr="006278AF">
        <w:rPr>
          <w:rFonts w:cs="Gentium"/>
          <w:color w:val="000000"/>
          <w:szCs w:val="24"/>
        </w:rPr>
        <w:t xml:space="preserve"> Library.  References to holdings in other libraries are included less systematically (and may sometimes mean that we have not yet consulted the item).  In addition, the sigla </w:t>
      </w:r>
      <w:r w:rsidRPr="006278AF">
        <w:rPr>
          <w:rFonts w:cs="Gentium"/>
          <w:b/>
          <w:bCs/>
          <w:color w:val="000000"/>
          <w:szCs w:val="24"/>
        </w:rPr>
        <w:t>offprint, printout, download,</w:t>
      </w:r>
      <w:r>
        <w:rPr>
          <w:rFonts w:cs="Gentium"/>
          <w:b/>
          <w:bCs/>
          <w:color w:val="000000"/>
          <w:szCs w:val="24"/>
        </w:rPr>
        <w:t xml:space="preserve"> scan</w:t>
      </w:r>
      <w:r w:rsidRPr="006278AF">
        <w:rPr>
          <w:rFonts w:cs="Gentium"/>
          <w:b/>
          <w:bCs/>
          <w:color w:val="000000"/>
          <w:szCs w:val="24"/>
        </w:rPr>
        <w:t xml:space="preserve"> </w:t>
      </w:r>
      <w:r w:rsidRPr="006278AF">
        <w:rPr>
          <w:rFonts w:cs="Gentium"/>
          <w:color w:val="000000"/>
          <w:szCs w:val="24"/>
        </w:rPr>
        <w:t>or references to typed extracts are retained because of their continuing usefulness to us; for other scholars they have the merit of confirming that we have verified the bibliographic data.  Where our efforts to access an item have been unsuccessful, we have</w:t>
      </w:r>
      <w:r>
        <w:rPr>
          <w:rFonts w:cs="Gentium"/>
          <w:color w:val="000000"/>
          <w:szCs w:val="24"/>
        </w:rPr>
        <w:t xml:space="preserve"> usually</w:t>
      </w:r>
      <w:r w:rsidRPr="006278AF">
        <w:rPr>
          <w:rFonts w:cs="Gentium"/>
          <w:color w:val="000000"/>
          <w:szCs w:val="24"/>
        </w:rPr>
        <w:t xml:space="preserve"> noted the information as </w:t>
      </w:r>
      <w:r w:rsidRPr="0088729C">
        <w:rPr>
          <w:rFonts w:cs="Gentium"/>
          <w:b/>
          <w:color w:val="000000"/>
          <w:szCs w:val="24"/>
        </w:rPr>
        <w:t>unverified</w:t>
      </w:r>
      <w:r w:rsidRPr="006278AF">
        <w:rPr>
          <w:rFonts w:cs="Gentium"/>
          <w:color w:val="000000"/>
          <w:szCs w:val="24"/>
        </w:rPr>
        <w:t>.</w:t>
      </w:r>
    </w:p>
    <w:p w14:paraId="735A37CE" w14:textId="45ADCF3C" w:rsidR="00B85FA5" w:rsidRPr="006278AF" w:rsidRDefault="00B85FA5" w:rsidP="00B85FA5">
      <w:pPr>
        <w:spacing w:after="60" w:line="276" w:lineRule="auto"/>
        <w:jc w:val="both"/>
        <w:rPr>
          <w:rFonts w:cs="Gentium"/>
          <w:color w:val="000000"/>
          <w:szCs w:val="24"/>
        </w:rPr>
      </w:pPr>
      <w:r w:rsidRPr="006278AF">
        <w:rPr>
          <w:rFonts w:cs="Gentium"/>
          <w:color w:val="000000"/>
          <w:szCs w:val="24"/>
        </w:rPr>
        <w:t xml:space="preserve">The </w:t>
      </w:r>
      <w:r w:rsidRPr="006278AF">
        <w:rPr>
          <w:rFonts w:cs="Gentium"/>
          <w:b/>
          <w:color w:val="000000"/>
          <w:szCs w:val="24"/>
        </w:rPr>
        <w:t>Bibliographies by category</w:t>
      </w:r>
      <w:r w:rsidRPr="006278AF">
        <w:rPr>
          <w:rFonts w:cs="Gentium"/>
          <w:color w:val="000000"/>
          <w:szCs w:val="24"/>
        </w:rPr>
        <w:t xml:space="preserve"> contain all the relevant publications contained in the Amalgamated Bibliography, </w:t>
      </w:r>
      <w:r w:rsidR="00926BC0">
        <w:rPr>
          <w:rFonts w:cs="Gentium"/>
          <w:color w:val="000000"/>
          <w:szCs w:val="24"/>
        </w:rPr>
        <w:t>accompanied</w:t>
      </w:r>
      <w:r w:rsidRPr="006278AF">
        <w:rPr>
          <w:rFonts w:cs="Gentium"/>
          <w:color w:val="000000"/>
          <w:szCs w:val="24"/>
        </w:rPr>
        <w:t xml:space="preserve"> by extensive notes on the material to which they relate.  The categories used correspond to what seems on balance the best way in which to divide up the whole field but we are well aware that no form of categorisation can take account of all the complex interactions actually involved.  The most problematic material is that often labelled Buddhist which in reality often has little real Buddhist content; we have placed this material within three headings, of which only the first (and smallest) is entirely Buddhist: Buddhist (South Asia), Central and East Asia, and SE Asia (verbal).</w:t>
      </w:r>
    </w:p>
    <w:p w14:paraId="671BCB93" w14:textId="3A6B1CEA" w:rsidR="00B85FA5" w:rsidRPr="006278AF" w:rsidRDefault="00836FE9" w:rsidP="00B85FA5">
      <w:pPr>
        <w:spacing w:after="60" w:line="276" w:lineRule="auto"/>
        <w:jc w:val="both"/>
        <w:rPr>
          <w:rFonts w:cs="Gentium"/>
          <w:color w:val="000000"/>
          <w:szCs w:val="24"/>
        </w:rPr>
      </w:pPr>
      <w:r>
        <w:rPr>
          <w:rFonts w:cs="Gentium"/>
          <w:color w:val="000000"/>
          <w:szCs w:val="24"/>
        </w:rPr>
        <w:t>All files start with a list of content, accompanied in</w:t>
      </w:r>
      <w:r w:rsidR="00B85FA5" w:rsidRPr="006278AF">
        <w:rPr>
          <w:rFonts w:cs="Gentium"/>
          <w:color w:val="000000"/>
          <w:szCs w:val="24"/>
        </w:rPr>
        <w:t xml:space="preserve"> </w:t>
      </w:r>
      <w:r>
        <w:rPr>
          <w:rFonts w:cs="Gentium"/>
          <w:color w:val="000000"/>
          <w:szCs w:val="24"/>
        </w:rPr>
        <w:t>several by</w:t>
      </w:r>
      <w:r w:rsidR="00B85FA5" w:rsidRPr="006278AF">
        <w:rPr>
          <w:rFonts w:cs="Gentium"/>
          <w:color w:val="000000"/>
          <w:szCs w:val="24"/>
        </w:rPr>
        <w:t xml:space="preserve"> a list of the previous, brief treatments in </w:t>
      </w:r>
      <w:r w:rsidR="00B85FA5" w:rsidRPr="006278AF">
        <w:rPr>
          <w:rFonts w:cs="Gentium"/>
          <w:i/>
          <w:color w:val="000000"/>
          <w:szCs w:val="24"/>
        </w:rPr>
        <w:t>RR</w:t>
      </w:r>
      <w:r w:rsidR="00B85FA5" w:rsidRPr="006278AF">
        <w:rPr>
          <w:rFonts w:cs="Gentium"/>
          <w:color w:val="000000"/>
          <w:szCs w:val="24"/>
        </w:rPr>
        <w:t xml:space="preserve"> (i.e. JLB 1985).  Next come</w:t>
      </w:r>
      <w:r w:rsidR="00C7377B">
        <w:rPr>
          <w:rFonts w:cs="Gentium"/>
          <w:color w:val="000000"/>
          <w:szCs w:val="24"/>
        </w:rPr>
        <w:t>s</w:t>
      </w:r>
      <w:r w:rsidR="00BE3D1D">
        <w:rPr>
          <w:rFonts w:cs="Gentium"/>
          <w:color w:val="000000"/>
          <w:szCs w:val="24"/>
        </w:rPr>
        <w:t xml:space="preserve"> </w:t>
      </w:r>
      <w:r w:rsidR="00B85FA5" w:rsidRPr="006278AF">
        <w:rPr>
          <w:rFonts w:cs="Gentium"/>
          <w:color w:val="000000"/>
          <w:szCs w:val="24"/>
        </w:rPr>
        <w:t xml:space="preserve"> the more general bibliography for that category (headed “general/unassigned”).  Then follow the individual texts or visual items in as much of </w:t>
      </w:r>
      <w:r w:rsidR="00B85FA5" w:rsidRPr="006278AF">
        <w:rPr>
          <w:rFonts w:cs="Gentium"/>
          <w:color w:val="000000"/>
          <w:szCs w:val="24"/>
        </w:rPr>
        <w:lastRenderedPageBreak/>
        <w:t xml:space="preserve">a chronological sequence as can be established (a tentative chart of </w:t>
      </w:r>
      <w:r w:rsidR="00B85FA5" w:rsidRPr="006278AF">
        <w:rPr>
          <w:rFonts w:cs="Gentium"/>
          <w:b/>
          <w:color w:val="000000"/>
          <w:szCs w:val="24"/>
        </w:rPr>
        <w:t>dates of texts</w:t>
      </w:r>
      <w:r w:rsidR="00B85FA5" w:rsidRPr="006278AF">
        <w:rPr>
          <w:rFonts w:cs="Gentium"/>
          <w:color w:val="000000"/>
          <w:szCs w:val="24"/>
        </w:rPr>
        <w:t xml:space="preserve"> used has been included within the </w:t>
      </w:r>
      <w:r w:rsidR="00B85FA5" w:rsidRPr="006278AF">
        <w:rPr>
          <w:rFonts w:cs="Gentium"/>
          <w:b/>
          <w:color w:val="000000"/>
          <w:szCs w:val="24"/>
        </w:rPr>
        <w:t xml:space="preserve">Ancillary Material </w:t>
      </w:r>
      <w:r w:rsidR="00B85FA5" w:rsidRPr="006278AF">
        <w:rPr>
          <w:rFonts w:cs="Gentium"/>
          <w:color w:val="000000"/>
          <w:szCs w:val="24"/>
        </w:rPr>
        <w:t xml:space="preserve">folder).  For the verbal material, after a text’s title and author, date and provenance, come firstly the bibliographical components under the headings: texts, translations and studies, and secondly a series of notes and comments relating to it, taken from various sources </w:t>
      </w:r>
      <w:r w:rsidR="00B85FA5" w:rsidRPr="006278AF">
        <w:rPr>
          <w:color w:val="000000"/>
        </w:rPr>
        <w:t>(those we consider significant, whether or not we agree with the conclusions reached)</w:t>
      </w:r>
      <w:r w:rsidR="00B85FA5" w:rsidRPr="006278AF">
        <w:rPr>
          <w:rFonts w:cs="Gentium"/>
          <w:color w:val="000000"/>
          <w:szCs w:val="24"/>
        </w:rPr>
        <w:t xml:space="preserve"> and including cross-references to relevant treatments in the more general secondary sources, as well as our own observations.  </w:t>
      </w:r>
    </w:p>
    <w:p w14:paraId="305DBC6A" w14:textId="77777777" w:rsidR="00B85FA5" w:rsidRPr="006278AF" w:rsidRDefault="00B85FA5" w:rsidP="00B85FA5">
      <w:pPr>
        <w:spacing w:after="60" w:line="276" w:lineRule="auto"/>
        <w:jc w:val="both"/>
        <w:rPr>
          <w:rFonts w:cs="Gentium"/>
          <w:i/>
          <w:color w:val="000000"/>
          <w:szCs w:val="24"/>
        </w:rPr>
      </w:pPr>
      <w:r w:rsidRPr="006278AF">
        <w:rPr>
          <w:rFonts w:cs="Gentium"/>
          <w:color w:val="000000"/>
          <w:szCs w:val="24"/>
        </w:rPr>
        <w:t xml:space="preserve">The visual material, also in broad chronological sequence, is organised partly by type (e.g. early terracottas) and partly by dynastic/regional origin (e.g. Gupta, Pallava temples), under the headings of studies, object (and medium) and location (original/present).  </w:t>
      </w:r>
      <w:r w:rsidRPr="006278AF">
        <w:rPr>
          <w:rFonts w:cs="Gentium"/>
          <w:i/>
          <w:color w:val="000000"/>
          <w:szCs w:val="24"/>
        </w:rPr>
        <w:t xml:space="preserve">Images and notes downloaded from museum websites (referred to as located in a folder Visual Rāmāyaṇa background material) have not been included in this archive for copyright reasons, but can </w:t>
      </w:r>
      <w:r>
        <w:rPr>
          <w:rFonts w:cs="Gentium"/>
          <w:i/>
          <w:color w:val="000000"/>
          <w:szCs w:val="24"/>
        </w:rPr>
        <w:t>usu</w:t>
      </w:r>
      <w:r w:rsidRPr="006278AF">
        <w:rPr>
          <w:rFonts w:cs="Gentium"/>
          <w:i/>
          <w:color w:val="000000"/>
          <w:szCs w:val="24"/>
        </w:rPr>
        <w:t>ally be accessed on the appropriate websites.</w:t>
      </w:r>
    </w:p>
    <w:p w14:paraId="287A3A3C" w14:textId="77777777" w:rsidR="0001375C" w:rsidRPr="0001375C" w:rsidRDefault="0001375C" w:rsidP="0001375C">
      <w:pPr>
        <w:spacing w:line="276" w:lineRule="auto"/>
        <w:rPr>
          <w:color w:val="000000"/>
          <w:sz w:val="20"/>
        </w:rPr>
      </w:pPr>
    </w:p>
    <w:p w14:paraId="2A52AA72" w14:textId="7FF53D83" w:rsidR="00B85FA5" w:rsidRPr="006278AF" w:rsidRDefault="0001375C" w:rsidP="00B85FA5">
      <w:pPr>
        <w:spacing w:after="120" w:line="276" w:lineRule="auto"/>
        <w:rPr>
          <w:b/>
          <w:i/>
          <w:color w:val="000000"/>
          <w:sz w:val="28"/>
          <w:szCs w:val="24"/>
        </w:rPr>
      </w:pPr>
      <w:r>
        <w:rPr>
          <w:b/>
          <w:i/>
          <w:color w:val="000000"/>
          <w:sz w:val="28"/>
          <w:szCs w:val="24"/>
        </w:rPr>
        <w:t xml:space="preserve">C. </w:t>
      </w:r>
      <w:r w:rsidR="00B85FA5" w:rsidRPr="006278AF">
        <w:rPr>
          <w:b/>
          <w:i/>
          <w:color w:val="000000"/>
          <w:sz w:val="28"/>
          <w:szCs w:val="24"/>
        </w:rPr>
        <w:t xml:space="preserve">Narrative Elements tabulations </w:t>
      </w:r>
    </w:p>
    <w:p w14:paraId="4061990D" w14:textId="77777777" w:rsidR="00B85FA5" w:rsidRPr="006278AF" w:rsidRDefault="00B85FA5" w:rsidP="00B85FA5">
      <w:pPr>
        <w:spacing w:after="60" w:line="276" w:lineRule="auto"/>
        <w:jc w:val="both"/>
        <w:rPr>
          <w:color w:val="000000"/>
          <w:szCs w:val="24"/>
        </w:rPr>
      </w:pPr>
      <w:r w:rsidRPr="006278AF">
        <w:rPr>
          <w:color w:val="000000"/>
          <w:szCs w:val="24"/>
        </w:rPr>
        <w:t xml:space="preserve">As the basis for our survey the detailed elements making up the narrative have been tabulated, and are here presented in two ways, both fully searchable: </w:t>
      </w:r>
      <w:r>
        <w:rPr>
          <w:color w:val="000000"/>
          <w:szCs w:val="24"/>
        </w:rPr>
        <w:t>one</w:t>
      </w:r>
      <w:r w:rsidRPr="006278AF">
        <w:rPr>
          <w:color w:val="000000"/>
          <w:szCs w:val="24"/>
        </w:rPr>
        <w:t xml:space="preserve"> file</w:t>
      </w:r>
      <w:r w:rsidRPr="00681878">
        <w:rPr>
          <w:color w:val="000000"/>
          <w:szCs w:val="24"/>
        </w:rPr>
        <w:t xml:space="preserve"> </w:t>
      </w:r>
      <w:r w:rsidRPr="00681878">
        <w:rPr>
          <w:color w:val="000000"/>
        </w:rPr>
        <w:t>(now sub-divided into 3 parts for greater ease of access)</w:t>
      </w:r>
      <w:r w:rsidRPr="00681878">
        <w:rPr>
          <w:color w:val="000000"/>
          <w:szCs w:val="24"/>
        </w:rPr>
        <w:t xml:space="preserve"> </w:t>
      </w:r>
      <w:r w:rsidRPr="006278AF">
        <w:rPr>
          <w:color w:val="000000"/>
          <w:szCs w:val="24"/>
        </w:rPr>
        <w:t xml:space="preserve">contains the material in </w:t>
      </w:r>
      <w:r w:rsidRPr="006278AF">
        <w:rPr>
          <w:b/>
          <w:color w:val="000000"/>
          <w:szCs w:val="24"/>
        </w:rPr>
        <w:t>Cumulative</w:t>
      </w:r>
      <w:r w:rsidRPr="006278AF">
        <w:rPr>
          <w:color w:val="000000"/>
          <w:szCs w:val="24"/>
        </w:rPr>
        <w:t xml:space="preserve"> format, and a group of files containing largely the same material divided into </w:t>
      </w:r>
      <w:r w:rsidRPr="006278AF">
        <w:rPr>
          <w:b/>
          <w:color w:val="000000"/>
          <w:szCs w:val="24"/>
        </w:rPr>
        <w:t>categories</w:t>
      </w:r>
      <w:r w:rsidRPr="006278AF">
        <w:rPr>
          <w:color w:val="000000"/>
          <w:szCs w:val="24"/>
        </w:rPr>
        <w:t xml:space="preserve">. Each entry includes a brief reference to its source, the full forms of which can be found in the </w:t>
      </w:r>
      <w:r w:rsidRPr="006278AF">
        <w:rPr>
          <w:b/>
          <w:color w:val="000000"/>
          <w:szCs w:val="24"/>
        </w:rPr>
        <w:t>Sources analysed</w:t>
      </w:r>
      <w:r w:rsidRPr="006278AF">
        <w:rPr>
          <w:color w:val="000000"/>
          <w:szCs w:val="24"/>
        </w:rPr>
        <w:t xml:space="preserve"> file.  Abbreviations used for Purāṇas and a few other texts are expanded in the </w:t>
      </w:r>
      <w:r w:rsidRPr="006278AF">
        <w:rPr>
          <w:b/>
          <w:color w:val="000000"/>
          <w:szCs w:val="24"/>
        </w:rPr>
        <w:t>Abbreviations</w:t>
      </w:r>
      <w:r w:rsidRPr="006278AF">
        <w:rPr>
          <w:color w:val="000000"/>
          <w:szCs w:val="24"/>
        </w:rPr>
        <w:t xml:space="preserve"> file (within </w:t>
      </w:r>
      <w:r w:rsidRPr="006278AF">
        <w:rPr>
          <w:b/>
          <w:color w:val="000000"/>
          <w:szCs w:val="24"/>
        </w:rPr>
        <w:t>Preliminaries</w:t>
      </w:r>
      <w:r w:rsidRPr="006278AF">
        <w:rPr>
          <w:color w:val="000000"/>
          <w:szCs w:val="24"/>
        </w:rPr>
        <w:t>).</w:t>
      </w:r>
    </w:p>
    <w:p w14:paraId="7B39660E" w14:textId="77777777" w:rsidR="00B85FA5" w:rsidRPr="006278AF" w:rsidRDefault="00B85FA5" w:rsidP="00B85FA5">
      <w:pPr>
        <w:spacing w:after="60" w:line="276" w:lineRule="auto"/>
        <w:jc w:val="both"/>
        <w:rPr>
          <w:color w:val="000000"/>
          <w:szCs w:val="24"/>
        </w:rPr>
      </w:pPr>
      <w:r w:rsidRPr="006278AF">
        <w:rPr>
          <w:color w:val="000000"/>
          <w:szCs w:val="24"/>
        </w:rPr>
        <w:t xml:space="preserve">In the </w:t>
      </w:r>
      <w:r w:rsidRPr="006278AF">
        <w:rPr>
          <w:b/>
          <w:color w:val="000000"/>
          <w:szCs w:val="24"/>
        </w:rPr>
        <w:t>Cumulative</w:t>
      </w:r>
      <w:r w:rsidRPr="006278AF">
        <w:rPr>
          <w:color w:val="000000"/>
          <w:szCs w:val="24"/>
        </w:rPr>
        <w:t xml:space="preserve"> file</w:t>
      </w:r>
      <w:r>
        <w:rPr>
          <w:color w:val="000000"/>
          <w:szCs w:val="24"/>
        </w:rPr>
        <w:t>s</w:t>
      </w:r>
      <w:r w:rsidRPr="006278AF">
        <w:rPr>
          <w:color w:val="000000"/>
          <w:szCs w:val="24"/>
        </w:rPr>
        <w:t>, the references tabulated have been grouped into the relevant category, according to our standard list (</w:t>
      </w:r>
      <w:r w:rsidRPr="006278AF">
        <w:rPr>
          <w:i/>
          <w:color w:val="000000"/>
          <w:szCs w:val="24"/>
        </w:rPr>
        <w:t>see</w:t>
      </w:r>
      <w:r w:rsidRPr="006278AF">
        <w:rPr>
          <w:color w:val="000000"/>
          <w:szCs w:val="24"/>
        </w:rPr>
        <w:t xml:space="preserve"> above, and repeated at the beginning of the file).  Within each category, the sources are listed firstly in alphabetical order of language (if applicable), then in approximate order of date (</w:t>
      </w:r>
      <w:r w:rsidRPr="006278AF">
        <w:rPr>
          <w:i/>
          <w:color w:val="000000"/>
          <w:szCs w:val="24"/>
        </w:rPr>
        <w:t>see</w:t>
      </w:r>
      <w:r w:rsidRPr="006278AF">
        <w:rPr>
          <w:color w:val="000000"/>
          <w:szCs w:val="24"/>
        </w:rPr>
        <w:t xml:space="preserve"> file in </w:t>
      </w:r>
      <w:r w:rsidRPr="006278AF">
        <w:rPr>
          <w:b/>
          <w:color w:val="000000"/>
          <w:szCs w:val="24"/>
        </w:rPr>
        <w:t>Ancillary material</w:t>
      </w:r>
      <w:r w:rsidRPr="006278AF">
        <w:rPr>
          <w:color w:val="000000"/>
          <w:szCs w:val="24"/>
        </w:rPr>
        <w:t xml:space="preserve">).  </w:t>
      </w:r>
    </w:p>
    <w:p w14:paraId="640D1B39" w14:textId="77777777" w:rsidR="00B85FA5" w:rsidRPr="006278AF" w:rsidRDefault="00B85FA5" w:rsidP="00B85FA5">
      <w:pPr>
        <w:spacing w:after="60" w:line="276" w:lineRule="auto"/>
        <w:jc w:val="both"/>
        <w:rPr>
          <w:color w:val="000000"/>
          <w:szCs w:val="24"/>
        </w:rPr>
      </w:pPr>
      <w:r w:rsidRPr="006278AF">
        <w:rPr>
          <w:rFonts w:cs="Gentium"/>
          <w:color w:val="000000"/>
          <w:szCs w:val="24"/>
        </w:rPr>
        <w:t>Users must bear in mind that the material tabulated is as yet far from complete, and that some aspects of the arrangement are undergoing revision; no doubt it contains many anomalies, so they will always find it worthwhile to search for synonyms.</w:t>
      </w:r>
    </w:p>
    <w:p w14:paraId="7418E80F" w14:textId="77777777" w:rsidR="0001375C" w:rsidRPr="0001375C" w:rsidRDefault="0001375C" w:rsidP="0001375C">
      <w:pPr>
        <w:spacing w:line="276" w:lineRule="auto"/>
        <w:rPr>
          <w:color w:val="000000"/>
          <w:sz w:val="20"/>
        </w:rPr>
      </w:pPr>
    </w:p>
    <w:p w14:paraId="021D2F53" w14:textId="0E9DC1B6" w:rsidR="00B85FA5" w:rsidRPr="006278AF" w:rsidRDefault="0001375C" w:rsidP="00B85FA5">
      <w:pPr>
        <w:spacing w:after="120" w:line="276" w:lineRule="auto"/>
        <w:jc w:val="both"/>
        <w:rPr>
          <w:rFonts w:cs="Gentium"/>
          <w:b/>
          <w:i/>
          <w:color w:val="000000"/>
          <w:sz w:val="28"/>
          <w:szCs w:val="24"/>
        </w:rPr>
      </w:pPr>
      <w:r>
        <w:rPr>
          <w:rFonts w:cs="Gentium"/>
          <w:b/>
          <w:i/>
          <w:color w:val="000000"/>
          <w:sz w:val="28"/>
          <w:szCs w:val="24"/>
        </w:rPr>
        <w:t xml:space="preserve">D. </w:t>
      </w:r>
      <w:r w:rsidR="00B85FA5" w:rsidRPr="006278AF">
        <w:rPr>
          <w:rFonts w:cs="Gentium"/>
          <w:b/>
          <w:i/>
          <w:color w:val="000000"/>
          <w:sz w:val="28"/>
          <w:szCs w:val="24"/>
        </w:rPr>
        <w:t>Ancillary material</w:t>
      </w:r>
    </w:p>
    <w:p w14:paraId="34AD332F" w14:textId="77777777" w:rsidR="00B85FA5" w:rsidRPr="006278AF" w:rsidRDefault="00B85FA5" w:rsidP="00B85FA5">
      <w:pPr>
        <w:spacing w:after="60" w:line="276" w:lineRule="auto"/>
        <w:jc w:val="both"/>
        <w:rPr>
          <w:rFonts w:cs="Gentium"/>
          <w:color w:val="000000"/>
          <w:szCs w:val="24"/>
        </w:rPr>
      </w:pPr>
      <w:r w:rsidRPr="006278AF">
        <w:rPr>
          <w:rFonts w:cs="Gentium"/>
          <w:color w:val="000000"/>
          <w:szCs w:val="24"/>
        </w:rPr>
        <w:t xml:space="preserve">The files </w:t>
      </w:r>
      <w:r w:rsidRPr="006278AF">
        <w:rPr>
          <w:rFonts w:cs="Gentium"/>
          <w:b/>
          <w:color w:val="000000"/>
          <w:szCs w:val="24"/>
        </w:rPr>
        <w:t>Further Notes (verbal</w:t>
      </w:r>
      <w:r w:rsidRPr="00D51EF9">
        <w:rPr>
          <w:rFonts w:cs="Gentium"/>
          <w:b/>
          <w:color w:val="000000"/>
          <w:szCs w:val="24"/>
          <w:vertAlign w:val="superscript"/>
        </w:rPr>
        <w:t xml:space="preserve"> </w:t>
      </w:r>
      <w:r>
        <w:rPr>
          <w:rFonts w:cs="Gentium"/>
          <w:b/>
          <w:color w:val="000000"/>
          <w:szCs w:val="24"/>
        </w:rPr>
        <w:t>+</w:t>
      </w:r>
      <w:r w:rsidRPr="00D51EF9">
        <w:rPr>
          <w:rFonts w:cs="Gentium"/>
          <w:b/>
          <w:color w:val="000000"/>
          <w:szCs w:val="24"/>
          <w:vertAlign w:val="superscript"/>
        </w:rPr>
        <w:t xml:space="preserve"> </w:t>
      </w:r>
      <w:r w:rsidRPr="006278AF">
        <w:rPr>
          <w:rFonts w:cs="Gentium"/>
          <w:b/>
          <w:color w:val="000000"/>
          <w:szCs w:val="24"/>
        </w:rPr>
        <w:t>general)</w:t>
      </w:r>
      <w:r w:rsidRPr="006278AF">
        <w:rPr>
          <w:rFonts w:cs="Gentium"/>
          <w:i/>
          <w:color w:val="000000"/>
          <w:szCs w:val="24"/>
        </w:rPr>
        <w:t xml:space="preserve"> </w:t>
      </w:r>
      <w:r w:rsidRPr="006278AF">
        <w:rPr>
          <w:rFonts w:cs="Gentium"/>
          <w:color w:val="000000"/>
          <w:szCs w:val="24"/>
        </w:rPr>
        <w:t xml:space="preserve">and </w:t>
      </w:r>
      <w:r w:rsidRPr="006278AF">
        <w:rPr>
          <w:rFonts w:cs="Gentium"/>
          <w:b/>
          <w:color w:val="000000"/>
          <w:szCs w:val="24"/>
        </w:rPr>
        <w:t>Further Notes (visual)</w:t>
      </w:r>
      <w:r w:rsidRPr="006278AF">
        <w:rPr>
          <w:rFonts w:cs="Gentium"/>
          <w:color w:val="000000"/>
          <w:szCs w:val="24"/>
        </w:rPr>
        <w:t xml:space="preserve"> collect together larger amounts of secondary material relevant to parts of the Bibliographies by category, including typed extracts from certain secondary sources; there should be references to this material in one or another of the category files.  At the end of Further Notes (visual), “Visual Rāmāyaṇa locations”</w:t>
      </w:r>
      <w:r w:rsidRPr="006278AF">
        <w:rPr>
          <w:rFonts w:cs="Gentium"/>
          <w:b/>
          <w:i/>
          <w:color w:val="000000"/>
          <w:szCs w:val="24"/>
        </w:rPr>
        <w:t xml:space="preserve"> </w:t>
      </w:r>
      <w:r w:rsidRPr="006278AF">
        <w:rPr>
          <w:rFonts w:cs="Gentium"/>
          <w:color w:val="000000"/>
          <w:szCs w:val="24"/>
        </w:rPr>
        <w:t xml:space="preserve">is an alphabetical listing of all locations that have Rāmāyaṇa-related material or are identified as the find-spots of such items, giving fuller geographical information than elsewhere (in particular district or province where situated), along with brief data about the material (usually more fully described in the relevant files in the bibliographic inventory). </w:t>
      </w:r>
    </w:p>
    <w:p w14:paraId="6F52D79B" w14:textId="77777777" w:rsidR="00A14214" w:rsidRPr="00CF0117" w:rsidRDefault="00A14214" w:rsidP="00A14214">
      <w:pPr>
        <w:spacing w:after="60" w:line="276" w:lineRule="auto"/>
        <w:jc w:val="both"/>
        <w:rPr>
          <w:rFonts w:cs="Gentium"/>
          <w:color w:val="000000"/>
          <w:szCs w:val="24"/>
        </w:rPr>
      </w:pPr>
      <w:r>
        <w:rPr>
          <w:rFonts w:cs="Gentium"/>
          <w:color w:val="000000"/>
          <w:szCs w:val="24"/>
        </w:rPr>
        <w:t xml:space="preserve">The file </w:t>
      </w:r>
      <w:r>
        <w:rPr>
          <w:rFonts w:cs="Gentium"/>
          <w:b/>
          <w:color w:val="000000"/>
          <w:szCs w:val="24"/>
        </w:rPr>
        <w:t>photographs (JLB)</w:t>
      </w:r>
      <w:r>
        <w:rPr>
          <w:rFonts w:cs="Gentium"/>
          <w:color w:val="000000"/>
          <w:szCs w:val="24"/>
        </w:rPr>
        <w:t xml:space="preserve"> contains </w:t>
      </w:r>
      <w:r>
        <w:rPr>
          <w:rFonts w:cs="Gentium"/>
          <w:b/>
          <w:color w:val="000000"/>
          <w:szCs w:val="24"/>
        </w:rPr>
        <w:t>Rāmāyaṇa-related photographs</w:t>
      </w:r>
      <w:r>
        <w:rPr>
          <w:rFonts w:cs="Gentium"/>
          <w:color w:val="000000"/>
          <w:szCs w:val="24"/>
        </w:rPr>
        <w:t xml:space="preserve"> and also </w:t>
      </w:r>
      <w:r>
        <w:rPr>
          <w:rFonts w:cs="Gentium"/>
          <w:b/>
          <w:color w:val="000000"/>
          <w:szCs w:val="24"/>
        </w:rPr>
        <w:t xml:space="preserve">photographs of Indian monuments, etc. </w:t>
      </w:r>
      <w:r>
        <w:rPr>
          <w:rFonts w:cs="Gentium"/>
          <w:color w:val="000000"/>
          <w:szCs w:val="24"/>
        </w:rPr>
        <w:t>(each including a list of the items contained within it).</w:t>
      </w:r>
    </w:p>
    <w:p w14:paraId="7391561C" w14:textId="3CFD682B" w:rsidR="00B85FA5" w:rsidRDefault="00B85FA5" w:rsidP="00B85FA5">
      <w:pPr>
        <w:spacing w:after="60" w:line="276" w:lineRule="auto"/>
        <w:jc w:val="both"/>
        <w:rPr>
          <w:rFonts w:cs="Gentium"/>
          <w:color w:val="000000"/>
          <w:szCs w:val="24"/>
        </w:rPr>
      </w:pPr>
      <w:r w:rsidRPr="006278AF">
        <w:rPr>
          <w:rFonts w:cs="Gentium"/>
          <w:color w:val="000000"/>
          <w:szCs w:val="24"/>
        </w:rPr>
        <w:t xml:space="preserve">The file </w:t>
      </w:r>
      <w:r w:rsidRPr="006278AF">
        <w:rPr>
          <w:rFonts w:cs="Gentium"/>
          <w:b/>
          <w:color w:val="000000"/>
          <w:szCs w:val="24"/>
        </w:rPr>
        <w:t>Publications and lectures</w:t>
      </w:r>
      <w:r w:rsidRPr="006278AF">
        <w:rPr>
          <w:rFonts w:cs="Gentium"/>
          <w:color w:val="000000"/>
          <w:szCs w:val="24"/>
        </w:rPr>
        <w:t xml:space="preserve"> collects together much of our published and unpublished work, along with some background material.  </w:t>
      </w:r>
      <w:r w:rsidRPr="006278AF">
        <w:rPr>
          <w:color w:val="000000"/>
          <w:szCs w:val="24"/>
        </w:rPr>
        <w:t xml:space="preserve">The </w:t>
      </w:r>
      <w:r w:rsidRPr="006278AF">
        <w:rPr>
          <w:b/>
          <w:color w:val="000000"/>
          <w:szCs w:val="24"/>
        </w:rPr>
        <w:t>Brockington publications</w:t>
      </w:r>
      <w:r w:rsidRPr="006278AF">
        <w:rPr>
          <w:color w:val="000000"/>
          <w:szCs w:val="24"/>
        </w:rPr>
        <w:t xml:space="preserve"> document lists p</w:t>
      </w:r>
      <w:r w:rsidRPr="006278AF">
        <w:rPr>
          <w:rFonts w:cs="Gentium"/>
          <w:color w:val="000000"/>
          <w:szCs w:val="24"/>
        </w:rPr>
        <w:t xml:space="preserve">ublications by either or both of us; where these have already drawn on or have analysed and </w:t>
      </w:r>
      <w:r w:rsidRPr="006278AF">
        <w:rPr>
          <w:rFonts w:cs="Gentium"/>
          <w:color w:val="000000"/>
          <w:szCs w:val="24"/>
        </w:rPr>
        <w:lastRenderedPageBreak/>
        <w:t xml:space="preserve">synthesised some of the material here tabulated, the fact has been noted at the relevant place.  It then contains CVs for both of us.  The files </w:t>
      </w:r>
      <w:r w:rsidRPr="006278AF">
        <w:rPr>
          <w:rFonts w:cs="Gentium"/>
          <w:b/>
          <w:color w:val="000000"/>
          <w:szCs w:val="24"/>
        </w:rPr>
        <w:t>JLB publications</w:t>
      </w:r>
      <w:r w:rsidRPr="006278AF">
        <w:rPr>
          <w:rFonts w:cs="Gentium"/>
          <w:color w:val="000000"/>
          <w:szCs w:val="24"/>
        </w:rPr>
        <w:t xml:space="preserve"> and </w:t>
      </w:r>
      <w:r w:rsidRPr="006278AF">
        <w:rPr>
          <w:rFonts w:cs="Gentium"/>
          <w:b/>
          <w:color w:val="000000"/>
          <w:szCs w:val="24"/>
        </w:rPr>
        <w:t>MB publications</w:t>
      </w:r>
      <w:r w:rsidRPr="006278AF">
        <w:rPr>
          <w:rFonts w:cs="Gentium"/>
          <w:color w:val="000000"/>
          <w:szCs w:val="24"/>
        </w:rPr>
        <w:t xml:space="preserve"> contain some of our older and</w:t>
      </w:r>
      <w:r w:rsidR="00A13AAF">
        <w:rPr>
          <w:rFonts w:cs="Gentium"/>
          <w:color w:val="000000"/>
          <w:szCs w:val="24"/>
        </w:rPr>
        <w:t xml:space="preserve"> our</w:t>
      </w:r>
      <w:r w:rsidRPr="006278AF">
        <w:rPr>
          <w:rFonts w:cs="Gentium"/>
          <w:color w:val="000000"/>
          <w:szCs w:val="24"/>
        </w:rPr>
        <w:t xml:space="preserve"> less accessible publications, arranged in suitable categories (together with a listing of some other relevant ones).  </w:t>
      </w:r>
      <w:r w:rsidRPr="006278AF">
        <w:rPr>
          <w:rFonts w:cs="Gentium"/>
          <w:b/>
          <w:color w:val="000000"/>
          <w:szCs w:val="24"/>
        </w:rPr>
        <w:t xml:space="preserve">Lectures and papers </w:t>
      </w:r>
      <w:r w:rsidR="004B3BB9">
        <w:rPr>
          <w:rFonts w:cs="Gentium"/>
          <w:b/>
          <w:color w:val="000000"/>
          <w:szCs w:val="24"/>
        </w:rPr>
        <w:t xml:space="preserve">– </w:t>
      </w:r>
      <w:r w:rsidRPr="006278AF">
        <w:rPr>
          <w:rFonts w:cs="Gentium"/>
          <w:b/>
          <w:color w:val="000000"/>
          <w:szCs w:val="24"/>
        </w:rPr>
        <w:t>unpublished</w:t>
      </w:r>
      <w:bookmarkStart w:id="0" w:name="_GoBack"/>
      <w:bookmarkEnd w:id="0"/>
      <w:r w:rsidRPr="006278AF">
        <w:rPr>
          <w:rFonts w:cs="Gentium"/>
          <w:color w:val="000000"/>
          <w:szCs w:val="24"/>
        </w:rPr>
        <w:t xml:space="preserve">, as its name indicates, contains various of our lectures and conference papers.  </w:t>
      </w:r>
      <w:r w:rsidRPr="006278AF">
        <w:rPr>
          <w:rFonts w:cs="Gentium"/>
          <w:b/>
          <w:color w:val="000000"/>
          <w:szCs w:val="24"/>
        </w:rPr>
        <w:t>Notes towards publications</w:t>
      </w:r>
      <w:r w:rsidRPr="006278AF">
        <w:rPr>
          <w:rFonts w:cs="Gentium"/>
          <w:color w:val="000000"/>
          <w:szCs w:val="24"/>
        </w:rPr>
        <w:t xml:space="preserve"> consists of background notes for several of our published books and articles (often containing a substantial amount of additional material).  Its contents are listed at the beginning of each of these files/documents.</w:t>
      </w:r>
    </w:p>
    <w:p w14:paraId="7A8B8699" w14:textId="77777777" w:rsidR="0001375C" w:rsidRPr="0001375C" w:rsidRDefault="0001375C" w:rsidP="0001375C">
      <w:pPr>
        <w:spacing w:line="276" w:lineRule="auto"/>
        <w:rPr>
          <w:color w:val="000000"/>
          <w:sz w:val="20"/>
        </w:rPr>
      </w:pPr>
    </w:p>
    <w:p w14:paraId="2EAC23DE" w14:textId="7C954B83" w:rsidR="00B85FA5" w:rsidRPr="006278AF" w:rsidRDefault="0001375C" w:rsidP="00B85FA5">
      <w:pPr>
        <w:spacing w:after="120" w:line="276" w:lineRule="auto"/>
        <w:jc w:val="both"/>
        <w:rPr>
          <w:rFonts w:cs="Gentium"/>
          <w:b/>
          <w:i/>
          <w:color w:val="000000"/>
          <w:sz w:val="28"/>
          <w:szCs w:val="24"/>
        </w:rPr>
      </w:pPr>
      <w:r>
        <w:rPr>
          <w:rFonts w:cs="Gentium"/>
          <w:b/>
          <w:i/>
          <w:color w:val="000000"/>
          <w:sz w:val="28"/>
          <w:szCs w:val="24"/>
        </w:rPr>
        <w:t xml:space="preserve">E. </w:t>
      </w:r>
      <w:r w:rsidR="00B85FA5" w:rsidRPr="006278AF">
        <w:rPr>
          <w:rFonts w:cs="Gentium"/>
          <w:b/>
          <w:i/>
          <w:color w:val="000000"/>
          <w:sz w:val="28"/>
          <w:szCs w:val="24"/>
        </w:rPr>
        <w:t>The development of the Rāmāyaṇa tradition</w:t>
      </w:r>
    </w:p>
    <w:p w14:paraId="1CE8B858" w14:textId="77777777" w:rsidR="00B85FA5" w:rsidRDefault="00B85FA5" w:rsidP="00B85FA5">
      <w:pPr>
        <w:spacing w:after="60" w:line="276" w:lineRule="auto"/>
        <w:jc w:val="both"/>
        <w:rPr>
          <w:rFonts w:cs="Gentium"/>
          <w:color w:val="000000"/>
          <w:szCs w:val="24"/>
        </w:rPr>
      </w:pPr>
      <w:r w:rsidRPr="006278AF">
        <w:rPr>
          <w:rFonts w:cs="Gentium"/>
          <w:color w:val="000000"/>
          <w:szCs w:val="24"/>
        </w:rPr>
        <w:t xml:space="preserve">This file presents in a single connected essay a survey of all the major handlings of the Rāma story known to us, beginning with its development within the </w:t>
      </w:r>
      <w:r w:rsidRPr="006278AF">
        <w:rPr>
          <w:rFonts w:cs="Gentium"/>
          <w:i/>
          <w:iCs/>
          <w:color w:val="000000"/>
          <w:szCs w:val="24"/>
        </w:rPr>
        <w:t>Vālmīki Rāmāyaṇa</w:t>
      </w:r>
      <w:r w:rsidRPr="006278AF">
        <w:rPr>
          <w:rFonts w:cs="Gentium"/>
          <w:color w:val="000000"/>
          <w:szCs w:val="24"/>
        </w:rPr>
        <w:t xml:space="preserve"> and continuing with sections mostly corresponding to the categories used for the Bibliographies by Category.  It incorporates some comments on the interrelations between the different tellings of the story and the mechanisms of its spread, including that known from previous studies, but the long-term aim in our own research is to place the understanding of these relationships on a firmer footing by the detailed analysis of the Narrative Elements contained within each telling and how they relate to each other. </w:t>
      </w:r>
    </w:p>
    <w:p w14:paraId="55B7A539" w14:textId="77777777" w:rsidR="0001375C" w:rsidRPr="0001375C" w:rsidRDefault="0001375C" w:rsidP="0001375C">
      <w:pPr>
        <w:spacing w:line="276" w:lineRule="auto"/>
        <w:rPr>
          <w:color w:val="000000"/>
          <w:sz w:val="20"/>
        </w:rPr>
      </w:pPr>
    </w:p>
    <w:p w14:paraId="39D56B6D" w14:textId="77777777" w:rsidR="0001375C" w:rsidRPr="004E6C09" w:rsidRDefault="0001375C" w:rsidP="0001375C">
      <w:pPr>
        <w:spacing w:after="120"/>
        <w:jc w:val="both"/>
        <w:rPr>
          <w:rFonts w:cs="Gentium"/>
          <w:b/>
          <w:i/>
          <w:color w:val="000000"/>
          <w:sz w:val="28"/>
          <w:szCs w:val="28"/>
        </w:rPr>
      </w:pPr>
      <w:r>
        <w:rPr>
          <w:rFonts w:cs="Gentium"/>
          <w:b/>
          <w:color w:val="000000"/>
          <w:sz w:val="28"/>
          <w:szCs w:val="28"/>
        </w:rPr>
        <w:t xml:space="preserve">F. </w:t>
      </w:r>
      <w:r w:rsidRPr="004E6C09">
        <w:rPr>
          <w:rFonts w:cs="Gentium"/>
          <w:b/>
          <w:i/>
          <w:color w:val="000000"/>
          <w:sz w:val="28"/>
          <w:szCs w:val="28"/>
        </w:rPr>
        <w:t>New Beginnings</w:t>
      </w:r>
      <w:r w:rsidRPr="004E6C09">
        <w:rPr>
          <w:b/>
          <w:i/>
          <w:color w:val="000000"/>
          <w:sz w:val="28"/>
          <w:szCs w:val="28"/>
        </w:rPr>
        <w:t>, old material: planning the rest of R</w:t>
      </w:r>
      <w:r w:rsidRPr="004E6C09">
        <w:rPr>
          <w:rFonts w:cs="Cambria"/>
          <w:b/>
          <w:i/>
          <w:color w:val="000000"/>
          <w:sz w:val="28"/>
          <w:szCs w:val="28"/>
        </w:rPr>
        <w:t>ā</w:t>
      </w:r>
      <w:r w:rsidRPr="004E6C09">
        <w:rPr>
          <w:b/>
          <w:i/>
          <w:color w:val="000000"/>
          <w:sz w:val="28"/>
          <w:szCs w:val="28"/>
        </w:rPr>
        <w:t>ma’s life</w:t>
      </w:r>
    </w:p>
    <w:p w14:paraId="4B870080" w14:textId="730A840A" w:rsidR="0001375C" w:rsidRDefault="0001375C" w:rsidP="0001375C">
      <w:pPr>
        <w:spacing w:after="60" w:line="276" w:lineRule="auto"/>
        <w:jc w:val="both"/>
      </w:pPr>
      <w:r w:rsidRPr="006278AF">
        <w:rPr>
          <w:rFonts w:cs="Gentium"/>
          <w:color w:val="000000"/>
          <w:szCs w:val="24"/>
        </w:rPr>
        <w:t>Th</w:t>
      </w:r>
      <w:r>
        <w:rPr>
          <w:rFonts w:cs="Gentium"/>
          <w:color w:val="000000"/>
          <w:szCs w:val="24"/>
        </w:rPr>
        <w:t>e text</w:t>
      </w:r>
      <w:r w:rsidRPr="006278AF">
        <w:rPr>
          <w:rFonts w:cs="Gentium"/>
          <w:color w:val="000000"/>
          <w:szCs w:val="24"/>
        </w:rPr>
        <w:t xml:space="preserve"> file</w:t>
      </w:r>
      <w:r>
        <w:rPr>
          <w:rFonts w:cs="Gentium"/>
          <w:color w:val="000000"/>
          <w:szCs w:val="24"/>
        </w:rPr>
        <w:t xml:space="preserve"> (with the same title)</w:t>
      </w:r>
      <w:r>
        <w:t xml:space="preserve"> presents the latest part of a long-developing study of the narrative structure of the </w:t>
      </w:r>
      <w:r>
        <w:rPr>
          <w:i/>
        </w:rPr>
        <w:t xml:space="preserve">Bāla </w:t>
      </w:r>
      <w:r w:rsidRPr="00630C26">
        <w:t>and</w:t>
      </w:r>
      <w:r>
        <w:rPr>
          <w:i/>
        </w:rPr>
        <w:t xml:space="preserve"> Uttara kāṇḍas</w:t>
      </w:r>
      <w:r>
        <w:t xml:space="preserve">, the </w:t>
      </w:r>
      <w:r>
        <w:rPr>
          <w:i/>
        </w:rPr>
        <w:t>kāṇḍas</w:t>
      </w:r>
      <w:r>
        <w:t xml:space="preserve"> that now preface and continue the traditional narrative of </w:t>
      </w:r>
      <w:r>
        <w:rPr>
          <w:i/>
        </w:rPr>
        <w:t xml:space="preserve">Vālmīki Rāmāyaṇa </w:t>
      </w:r>
      <w:r>
        <w:t xml:space="preserve">books 2—6.  These two books are themselves far from unitary; their diverse nature sheds light on the development, not only of Stage 3 itself (including the occasional transformation of the human Rāma into an </w:t>
      </w:r>
      <w:r>
        <w:rPr>
          <w:i/>
        </w:rPr>
        <w:t>avatāra</w:t>
      </w:r>
      <w:r>
        <w:t xml:space="preserve"> of Viṣṇu) but also of a few puzzling episodes in the so-called ‘core’ books.</w:t>
      </w:r>
    </w:p>
    <w:p w14:paraId="13F5BE13" w14:textId="37455CD8" w:rsidR="0001375C" w:rsidRDefault="0001375C" w:rsidP="0001375C">
      <w:pPr>
        <w:spacing w:after="60" w:line="276" w:lineRule="auto"/>
        <w:jc w:val="both"/>
      </w:pPr>
      <w:r>
        <w:t xml:space="preserve">The first three chapters look back to the ‘old material’ — the traditional Rāma story inherited by these later composers — which their ‘new beginnings’ had to take into account, and examine it in terms of narrative techniques.  Chapter 4 explores the narratives and structure of the </w:t>
      </w:r>
      <w:r>
        <w:rPr>
          <w:i/>
        </w:rPr>
        <w:t xml:space="preserve">Bāla </w:t>
      </w:r>
      <w:r w:rsidRPr="00A3788C">
        <w:t>and</w:t>
      </w:r>
      <w:r>
        <w:rPr>
          <w:i/>
        </w:rPr>
        <w:t xml:space="preserve"> Uttarakāṇḍas</w:t>
      </w:r>
      <w:r>
        <w:t xml:space="preserve"> in depth, as the new tellers sought to add their own conceptions within a society with evolving values.  Five additional files (in the folder </w:t>
      </w:r>
      <w:r>
        <w:rPr>
          <w:b/>
        </w:rPr>
        <w:t>Supporting material</w:t>
      </w:r>
      <w:r>
        <w:t>) present details or notes too lengthy to be incorporated into the text.</w:t>
      </w:r>
    </w:p>
    <w:p w14:paraId="5589AD80" w14:textId="77777777" w:rsidR="0001375C" w:rsidRPr="00397A8E" w:rsidRDefault="0001375C" w:rsidP="0001375C">
      <w:pPr>
        <w:tabs>
          <w:tab w:val="left" w:pos="720"/>
          <w:tab w:val="left" w:pos="1440"/>
          <w:tab w:val="left" w:pos="2160"/>
          <w:tab w:val="right" w:pos="9000"/>
        </w:tabs>
        <w:spacing w:before="120" w:line="276" w:lineRule="auto"/>
        <w:jc w:val="both"/>
      </w:pPr>
      <w:r w:rsidRPr="00397A8E">
        <w:t xml:space="preserve">1: </w:t>
      </w:r>
      <w:r>
        <w:t xml:space="preserve"> Inspiration, t</w:t>
      </w:r>
      <w:r w:rsidRPr="00397A8E">
        <w:t>echniques and structure</w:t>
      </w:r>
      <w:r>
        <w:t>, including the role of allusions within the narrative</w:t>
      </w:r>
    </w:p>
    <w:p w14:paraId="1DD1F619" w14:textId="77777777" w:rsidR="0001375C" w:rsidRDefault="0001375C" w:rsidP="0001375C">
      <w:pPr>
        <w:tabs>
          <w:tab w:val="left" w:pos="720"/>
          <w:tab w:val="left" w:pos="1440"/>
          <w:tab w:val="left" w:pos="2160"/>
          <w:tab w:val="right" w:pos="9000"/>
        </w:tabs>
        <w:spacing w:line="276" w:lineRule="auto"/>
        <w:jc w:val="both"/>
      </w:pPr>
      <w:r w:rsidRPr="00397A8E">
        <w:t xml:space="preserve">2: </w:t>
      </w:r>
      <w:r>
        <w:t xml:space="preserve"> </w:t>
      </w:r>
      <w:r w:rsidRPr="00397A8E">
        <w:t>The core narrative</w:t>
      </w:r>
      <w:r>
        <w:t xml:space="preserve"> of </w:t>
      </w:r>
      <w:r>
        <w:rPr>
          <w:i/>
        </w:rPr>
        <w:t>kāṇḍas</w:t>
      </w:r>
      <w:r>
        <w:t xml:space="preserve"> 2—6:</w:t>
      </w:r>
      <w:r w:rsidRPr="00397A8E">
        <w:tab/>
      </w:r>
      <w:r>
        <w:t xml:space="preserve"> e</w:t>
      </w:r>
      <w:r w:rsidRPr="00397A8E">
        <w:t xml:space="preserve">vidence from </w:t>
      </w:r>
      <w:r>
        <w:t>3</w:t>
      </w:r>
      <w:r w:rsidRPr="00397A8E">
        <w:t xml:space="preserve"> summaries and the </w:t>
      </w:r>
      <w:r w:rsidRPr="00397A8E">
        <w:rPr>
          <w:i/>
        </w:rPr>
        <w:t>Rāmopākhyāna</w:t>
      </w:r>
      <w:r>
        <w:t xml:space="preserve"> for its contents and s</w:t>
      </w:r>
      <w:r w:rsidRPr="00397A8E">
        <w:t>egmentation</w:t>
      </w:r>
    </w:p>
    <w:p w14:paraId="1ADAD475" w14:textId="77777777" w:rsidR="0001375C" w:rsidRDefault="0001375C" w:rsidP="0001375C">
      <w:pPr>
        <w:tabs>
          <w:tab w:val="left" w:pos="720"/>
          <w:tab w:val="left" w:pos="1440"/>
          <w:tab w:val="left" w:pos="2160"/>
          <w:tab w:val="right" w:pos="9000"/>
        </w:tabs>
        <w:spacing w:line="276" w:lineRule="auto"/>
        <w:jc w:val="both"/>
        <w:rPr>
          <w:szCs w:val="24"/>
        </w:rPr>
      </w:pPr>
      <w:r w:rsidRPr="00397A8E">
        <w:t>3:</w:t>
      </w:r>
      <w:r>
        <w:t xml:space="preserve">  B</w:t>
      </w:r>
      <w:r w:rsidRPr="00397A8E">
        <w:rPr>
          <w:szCs w:val="24"/>
        </w:rPr>
        <w:t xml:space="preserve">oons </w:t>
      </w:r>
      <w:r>
        <w:rPr>
          <w:szCs w:val="24"/>
        </w:rPr>
        <w:t>misused</w:t>
      </w:r>
    </w:p>
    <w:p w14:paraId="581548E5" w14:textId="77777777" w:rsidR="0001375C" w:rsidRDefault="0001375C" w:rsidP="0001375C">
      <w:pPr>
        <w:tabs>
          <w:tab w:val="left" w:pos="720"/>
          <w:tab w:val="left" w:pos="1440"/>
          <w:tab w:val="left" w:pos="2160"/>
          <w:tab w:val="right" w:pos="9000"/>
        </w:tabs>
        <w:spacing w:line="276" w:lineRule="auto"/>
        <w:jc w:val="both"/>
      </w:pPr>
      <w:r w:rsidRPr="00397A8E">
        <w:t>4:</w:t>
      </w:r>
      <w:r>
        <w:t xml:space="preserve">  </w:t>
      </w:r>
      <w:r>
        <w:rPr>
          <w:i/>
        </w:rPr>
        <w:t>kāṇḍas</w:t>
      </w:r>
      <w:r>
        <w:t xml:space="preserve"> 1 and 7: a new core text</w:t>
      </w:r>
    </w:p>
    <w:p w14:paraId="439A6277" w14:textId="77777777" w:rsidR="0001375C" w:rsidRPr="003F51ED" w:rsidRDefault="0001375C" w:rsidP="0001375C">
      <w:pPr>
        <w:tabs>
          <w:tab w:val="left" w:pos="720"/>
          <w:tab w:val="left" w:pos="1440"/>
          <w:tab w:val="left" w:pos="2160"/>
          <w:tab w:val="right" w:pos="9000"/>
        </w:tabs>
        <w:spacing w:line="276" w:lineRule="auto"/>
        <w:jc w:val="both"/>
      </w:pPr>
      <w:r>
        <w:t>5:  ‘Filling in the gaps’ [</w:t>
      </w:r>
      <w:r>
        <w:rPr>
          <w:i/>
        </w:rPr>
        <w:t>to be composed</w:t>
      </w:r>
      <w:r>
        <w:t xml:space="preserve">]: a list of items of differing purpose and textual status, including the inordinate number of In-tales in both new </w:t>
      </w:r>
      <w:r>
        <w:rPr>
          <w:i/>
        </w:rPr>
        <w:t>kāṇḍas</w:t>
      </w:r>
      <w:r>
        <w:t>, and some new episodes which distort our understanding of the earlier Rāma story</w:t>
      </w:r>
    </w:p>
    <w:p w14:paraId="1747371D" w14:textId="014A6F7A" w:rsidR="00BF4506" w:rsidRDefault="0001375C" w:rsidP="0001375C">
      <w:pPr>
        <w:tabs>
          <w:tab w:val="left" w:pos="720"/>
          <w:tab w:val="left" w:pos="1440"/>
          <w:tab w:val="left" w:pos="2160"/>
          <w:tab w:val="right" w:pos="9000"/>
        </w:tabs>
        <w:spacing w:line="276" w:lineRule="auto"/>
        <w:jc w:val="both"/>
      </w:pPr>
      <w:r>
        <w:t>6:  [</w:t>
      </w:r>
      <w:r>
        <w:rPr>
          <w:i/>
        </w:rPr>
        <w:t>now completed</w:t>
      </w:r>
      <w:r>
        <w:t xml:space="preserve">] </w:t>
      </w:r>
      <w:r w:rsidRPr="00397A8E">
        <w:t xml:space="preserve">Agastya’s post-victory narrative, </w:t>
      </w:r>
      <w:r>
        <w:t xml:space="preserve">7,1—34; based on the core text, amplifies and reimagines the narrative from hints and allusions in </w:t>
      </w:r>
      <w:r>
        <w:rPr>
          <w:i/>
        </w:rPr>
        <w:t>kāṇḍas</w:t>
      </w:r>
      <w:r>
        <w:t xml:space="preserve"> 2—6 (mostly within a context of divinisation of the heroes and corresponding reshaped genre).</w:t>
      </w:r>
    </w:p>
    <w:p w14:paraId="1FA340C9" w14:textId="45909F1A" w:rsidR="0001375C" w:rsidRPr="0052161F" w:rsidRDefault="0052161F" w:rsidP="0052161F">
      <w:pPr>
        <w:spacing w:after="60" w:line="276" w:lineRule="auto"/>
        <w:jc w:val="center"/>
        <w:rPr>
          <w:rFonts w:cs="Gentium"/>
          <w:color w:val="000000"/>
          <w:szCs w:val="24"/>
        </w:rPr>
      </w:pPr>
      <w:r w:rsidRPr="006278AF">
        <w:rPr>
          <w:rFonts w:cs="Gentium"/>
          <w:color w:val="000000"/>
          <w:szCs w:val="24"/>
        </w:rPr>
        <w:t>--------------------</w:t>
      </w:r>
    </w:p>
    <w:sectPr w:rsidR="0001375C" w:rsidRPr="0052161F" w:rsidSect="00B85FA5">
      <w:footerReference w:type="even" r:id="rId7"/>
      <w:footerReference w:type="default" r:id="rId8"/>
      <w:pgSz w:w="11808" w:h="16800"/>
      <w:pgMar w:top="1152" w:right="1187" w:bottom="960" w:left="1440" w:header="720" w:footer="720" w:gutter="0"/>
      <w:pgNumType w:start="1"/>
      <w:cols w:space="28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26602" w14:textId="77777777" w:rsidR="00384C56" w:rsidRDefault="00384C56">
      <w:r>
        <w:separator/>
      </w:r>
    </w:p>
  </w:endnote>
  <w:endnote w:type="continuationSeparator" w:id="0">
    <w:p w14:paraId="5395C97E" w14:textId="77777777" w:rsidR="00384C56" w:rsidRDefault="00384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tium">
    <w:panose1 w:val="02000503060000020004"/>
    <w:charset w:val="00"/>
    <w:family w:val="auto"/>
    <w:pitch w:val="variable"/>
    <w:sig w:usb0="E00000FF" w:usb1="00000003" w:usb2="00000000" w:usb3="00000000" w:csb0="0000001B"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Shruti">
    <w:altName w:val="Cambria"/>
    <w:panose1 w:val="020B0502040204020203"/>
    <w:charset w:val="01"/>
    <w:family w:val="roman"/>
    <w:notTrueType/>
    <w:pitch w:val="variable"/>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3BB1E" w14:textId="77777777" w:rsidR="00B22A99" w:rsidRDefault="00B85FA5" w:rsidP="0071446C">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B6E7572" w14:textId="77777777" w:rsidR="00B22A99" w:rsidRDefault="00384C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F9A71" w14:textId="77777777" w:rsidR="00B22A99" w:rsidRDefault="00B85FA5" w:rsidP="0071446C">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E44CFDF" w14:textId="77777777" w:rsidR="00FC0FF9" w:rsidRPr="008D25EE" w:rsidRDefault="00384C56" w:rsidP="008D25E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57FFDC" w14:textId="77777777" w:rsidR="00384C56" w:rsidRDefault="00384C56">
      <w:r>
        <w:separator/>
      </w:r>
    </w:p>
  </w:footnote>
  <w:footnote w:type="continuationSeparator" w:id="0">
    <w:p w14:paraId="2B6DE923" w14:textId="77777777" w:rsidR="00384C56" w:rsidRDefault="00384C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DCAB84A"/>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FA5"/>
    <w:rsid w:val="00012CFA"/>
    <w:rsid w:val="0001375C"/>
    <w:rsid w:val="000501C4"/>
    <w:rsid w:val="000A5CAB"/>
    <w:rsid w:val="00100BE1"/>
    <w:rsid w:val="00145EC4"/>
    <w:rsid w:val="001A1323"/>
    <w:rsid w:val="001F466F"/>
    <w:rsid w:val="00236D55"/>
    <w:rsid w:val="00242A33"/>
    <w:rsid w:val="002841A4"/>
    <w:rsid w:val="003611F3"/>
    <w:rsid w:val="00381A2B"/>
    <w:rsid w:val="00384C56"/>
    <w:rsid w:val="003F4A28"/>
    <w:rsid w:val="004B3BB9"/>
    <w:rsid w:val="005053A5"/>
    <w:rsid w:val="00512E84"/>
    <w:rsid w:val="0052161F"/>
    <w:rsid w:val="00565EF4"/>
    <w:rsid w:val="006839A8"/>
    <w:rsid w:val="006A4E6B"/>
    <w:rsid w:val="006B47E5"/>
    <w:rsid w:val="006F5C1D"/>
    <w:rsid w:val="006F6063"/>
    <w:rsid w:val="00825299"/>
    <w:rsid w:val="00836FE9"/>
    <w:rsid w:val="00860886"/>
    <w:rsid w:val="008C1EBC"/>
    <w:rsid w:val="008D4C4D"/>
    <w:rsid w:val="00926BC0"/>
    <w:rsid w:val="00965715"/>
    <w:rsid w:val="0096626F"/>
    <w:rsid w:val="009670A6"/>
    <w:rsid w:val="009C0B53"/>
    <w:rsid w:val="009F07BA"/>
    <w:rsid w:val="009F1FBB"/>
    <w:rsid w:val="00A13AAF"/>
    <w:rsid w:val="00A14214"/>
    <w:rsid w:val="00A30383"/>
    <w:rsid w:val="00AD3F96"/>
    <w:rsid w:val="00B8192C"/>
    <w:rsid w:val="00B85FA5"/>
    <w:rsid w:val="00BE3D1D"/>
    <w:rsid w:val="00BF4506"/>
    <w:rsid w:val="00C22AA7"/>
    <w:rsid w:val="00C325E9"/>
    <w:rsid w:val="00C7377B"/>
    <w:rsid w:val="00CF0117"/>
    <w:rsid w:val="00D5793E"/>
    <w:rsid w:val="00DA6539"/>
    <w:rsid w:val="00E0401F"/>
    <w:rsid w:val="00E30D7D"/>
    <w:rsid w:val="00EF3360"/>
    <w:rsid w:val="00F27782"/>
    <w:rsid w:val="00F671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E94AD"/>
  <w15:chartTrackingRefBased/>
  <w15:docId w15:val="{F137F633-0CA5-D847-AE8F-97B85C71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Times New Roman" w:hAnsi="Gentium" w:cs="Arial"/>
        <w:color w:val="000000" w:themeColor="text1"/>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85FA5"/>
    <w:pPr>
      <w:adjustRightInd w:val="0"/>
    </w:pPr>
    <w:rPr>
      <w:rFonts w:cs="Times New Roman"/>
      <w:color w:val="auto"/>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rrativeelements">
    <w:name w:val="narrative elements"/>
    <w:basedOn w:val="Normal"/>
    <w:rsid w:val="00565EF4"/>
    <w:rPr>
      <w:rFonts w:eastAsia="Times"/>
      <w:szCs w:val="22"/>
    </w:rPr>
  </w:style>
  <w:style w:type="paragraph" w:customStyle="1" w:styleId="hangingindent">
    <w:name w:val="hanging indent"/>
    <w:basedOn w:val="Normal"/>
    <w:rsid w:val="00DA6539"/>
    <w:pPr>
      <w:tabs>
        <w:tab w:val="left" w:pos="1440"/>
      </w:tabs>
      <w:adjustRightInd/>
      <w:spacing w:after="80"/>
      <w:ind w:left="720" w:hanging="720"/>
    </w:pPr>
    <w:rPr>
      <w:szCs w:val="24"/>
    </w:rPr>
  </w:style>
  <w:style w:type="paragraph" w:customStyle="1" w:styleId="HangingIndent0">
    <w:name w:val="Hanging Indent"/>
    <w:basedOn w:val="BodyText"/>
    <w:rsid w:val="009F07BA"/>
    <w:pPr>
      <w:tabs>
        <w:tab w:val="left" w:pos="0"/>
      </w:tabs>
      <w:spacing w:after="80"/>
    </w:pPr>
  </w:style>
  <w:style w:type="paragraph" w:styleId="BodyText">
    <w:name w:val="Body Text"/>
    <w:basedOn w:val="Normal"/>
    <w:link w:val="BodyTextChar"/>
    <w:uiPriority w:val="99"/>
    <w:semiHidden/>
    <w:unhideWhenUsed/>
    <w:rsid w:val="009F07BA"/>
    <w:pPr>
      <w:adjustRightInd/>
    </w:pPr>
    <w:rPr>
      <w:szCs w:val="24"/>
    </w:rPr>
  </w:style>
  <w:style w:type="character" w:customStyle="1" w:styleId="BodyTextChar">
    <w:name w:val="Body Text Char"/>
    <w:basedOn w:val="DefaultParagraphFont"/>
    <w:link w:val="BodyText"/>
    <w:uiPriority w:val="99"/>
    <w:semiHidden/>
    <w:rsid w:val="009F07BA"/>
  </w:style>
  <w:style w:type="paragraph" w:customStyle="1" w:styleId="hangingindent025">
    <w:name w:val="hanging indent (0.25)"/>
    <w:basedOn w:val="hangingindent"/>
    <w:qFormat/>
    <w:rsid w:val="009F07BA"/>
    <w:pPr>
      <w:ind w:left="360" w:hanging="360"/>
      <w:jc w:val="both"/>
    </w:pPr>
    <w:rPr>
      <w:rFonts w:eastAsia="Times"/>
    </w:rPr>
  </w:style>
  <w:style w:type="paragraph" w:styleId="Header">
    <w:name w:val="header"/>
    <w:basedOn w:val="Normal"/>
    <w:link w:val="HeaderChar"/>
    <w:qFormat/>
    <w:rsid w:val="009F07BA"/>
    <w:pPr>
      <w:tabs>
        <w:tab w:val="center" w:pos="4320"/>
        <w:tab w:val="right" w:pos="8640"/>
      </w:tabs>
      <w:adjustRightInd/>
      <w:ind w:firstLine="360"/>
      <w:jc w:val="right"/>
    </w:pPr>
    <w:rPr>
      <w:szCs w:val="24"/>
    </w:rPr>
  </w:style>
  <w:style w:type="character" w:customStyle="1" w:styleId="HeaderChar">
    <w:name w:val="Header Char"/>
    <w:basedOn w:val="DefaultParagraphFont"/>
    <w:link w:val="Header"/>
    <w:rsid w:val="009F07BA"/>
    <w:rPr>
      <w:szCs w:val="20"/>
    </w:rPr>
  </w:style>
  <w:style w:type="character" w:styleId="PageNumber">
    <w:name w:val="page number"/>
    <w:uiPriority w:val="99"/>
    <w:qFormat/>
    <w:rsid w:val="00C22AA7"/>
    <w:rPr>
      <w:rFonts w:ascii="Gentium" w:hAnsi="Gentium" w:cs="Gentium"/>
      <w:sz w:val="24"/>
    </w:rPr>
  </w:style>
  <w:style w:type="paragraph" w:styleId="FootnoteText">
    <w:name w:val="footnote text"/>
    <w:aliases w:val="Footnote Text (Gentium)"/>
    <w:basedOn w:val="Normal"/>
    <w:link w:val="FootnoteTextChar"/>
    <w:qFormat/>
    <w:rsid w:val="00825299"/>
    <w:pPr>
      <w:tabs>
        <w:tab w:val="left" w:pos="360"/>
      </w:tabs>
      <w:spacing w:before="60"/>
    </w:pPr>
    <w:rPr>
      <w:rFonts w:cs="Shruti"/>
      <w:sz w:val="22"/>
      <w:szCs w:val="24"/>
    </w:rPr>
  </w:style>
  <w:style w:type="character" w:customStyle="1" w:styleId="FootnoteTextChar">
    <w:name w:val="Footnote Text Char"/>
    <w:aliases w:val="Footnote Text (Gentium) Char"/>
    <w:basedOn w:val="DefaultParagraphFont"/>
    <w:link w:val="FootnoteText"/>
    <w:rsid w:val="00825299"/>
    <w:rPr>
      <w:rFonts w:cs="Shruti"/>
      <w:sz w:val="22"/>
      <w:lang w:val="en-GB"/>
    </w:rPr>
  </w:style>
  <w:style w:type="paragraph" w:styleId="ListNumber">
    <w:name w:val="List Number"/>
    <w:basedOn w:val="List"/>
    <w:rsid w:val="00E0401F"/>
    <w:pPr>
      <w:tabs>
        <w:tab w:val="left" w:pos="2880"/>
        <w:tab w:val="right" w:pos="9000"/>
      </w:tabs>
      <w:suppressAutoHyphens/>
      <w:overflowPunct w:val="0"/>
      <w:autoSpaceDE w:val="0"/>
      <w:spacing w:after="120" w:line="288" w:lineRule="auto"/>
      <w:ind w:left="360" w:hanging="360"/>
      <w:contextualSpacing w:val="0"/>
      <w:textAlignment w:val="baseline"/>
    </w:pPr>
    <w:rPr>
      <w:sz w:val="20"/>
      <w:szCs w:val="20"/>
    </w:rPr>
  </w:style>
  <w:style w:type="paragraph" w:styleId="List">
    <w:name w:val="List"/>
    <w:basedOn w:val="Normal"/>
    <w:uiPriority w:val="99"/>
    <w:semiHidden/>
    <w:unhideWhenUsed/>
    <w:rsid w:val="00E0401F"/>
    <w:pPr>
      <w:adjustRightInd/>
      <w:ind w:left="283" w:hanging="283"/>
      <w:contextualSpacing/>
    </w:pPr>
    <w:rPr>
      <w:szCs w:val="24"/>
    </w:rPr>
  </w:style>
  <w:style w:type="paragraph" w:styleId="Footer">
    <w:name w:val="footer"/>
    <w:basedOn w:val="Normal"/>
    <w:link w:val="FooterChar"/>
    <w:rsid w:val="00B85FA5"/>
    <w:pPr>
      <w:tabs>
        <w:tab w:val="center" w:pos="4252"/>
        <w:tab w:val="right" w:pos="8504"/>
      </w:tabs>
    </w:pPr>
  </w:style>
  <w:style w:type="character" w:customStyle="1" w:styleId="FooterChar">
    <w:name w:val="Footer Char"/>
    <w:basedOn w:val="DefaultParagraphFont"/>
    <w:link w:val="Footer"/>
    <w:rsid w:val="00B85FA5"/>
    <w:rPr>
      <w:rFonts w:cs="Times New Roman"/>
      <w:color w:val="auto"/>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4</Pages>
  <Words>1617</Words>
  <Characters>9218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Brockington</dc:creator>
  <cp:keywords/>
  <dc:description/>
  <cp:lastModifiedBy>John Brockington</cp:lastModifiedBy>
  <cp:revision>17</cp:revision>
  <dcterms:created xsi:type="dcterms:W3CDTF">2022-02-15T11:06:00Z</dcterms:created>
  <dcterms:modified xsi:type="dcterms:W3CDTF">2024-11-15T16:21:00Z</dcterms:modified>
</cp:coreProperties>
</file>